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5FB73" w14:textId="77777777" w:rsidR="008E4C5E" w:rsidRDefault="008E4C5E" w:rsidP="00327472">
      <w:pPr>
        <w:spacing w:after="0" w:line="276" w:lineRule="auto"/>
        <w:rPr>
          <w:rFonts w:ascii="Arial" w:hAnsi="Arial" w:cs="Arial"/>
          <w:b/>
          <w:color w:val="000000" w:themeColor="text1"/>
          <w:sz w:val="24"/>
          <w:szCs w:val="24"/>
        </w:rPr>
      </w:pPr>
    </w:p>
    <w:p w14:paraId="5F2F4DA7" w14:textId="1D8266FF" w:rsidR="00D97238" w:rsidRDefault="00D97238" w:rsidP="00327472">
      <w:pPr>
        <w:spacing w:after="0" w:line="276" w:lineRule="auto"/>
        <w:rPr>
          <w:rFonts w:ascii="Arial" w:hAnsi="Arial" w:cs="Arial"/>
          <w:b/>
          <w:color w:val="000000" w:themeColor="text1"/>
          <w:sz w:val="24"/>
          <w:szCs w:val="24"/>
        </w:rPr>
      </w:pPr>
      <w:r w:rsidRPr="00297143">
        <w:rPr>
          <w:rFonts w:ascii="Arial" w:hAnsi="Arial" w:cs="Arial"/>
          <w:b/>
          <w:color w:val="000000" w:themeColor="text1"/>
          <w:sz w:val="24"/>
          <w:szCs w:val="24"/>
        </w:rPr>
        <w:t>HONORABLE ASAMBLEA</w:t>
      </w:r>
    </w:p>
    <w:p w14:paraId="70CA5815" w14:textId="77777777" w:rsidR="00C36793" w:rsidRPr="00297143" w:rsidRDefault="00C36793" w:rsidP="00C36793">
      <w:pPr>
        <w:spacing w:after="0" w:line="276" w:lineRule="auto"/>
        <w:jc w:val="both"/>
        <w:rPr>
          <w:rFonts w:ascii="Arial" w:hAnsi="Arial" w:cs="Arial"/>
          <w:b/>
          <w:color w:val="000000" w:themeColor="text1"/>
          <w:sz w:val="24"/>
          <w:szCs w:val="24"/>
        </w:rPr>
      </w:pPr>
    </w:p>
    <w:p w14:paraId="4EB8A882" w14:textId="401FD072" w:rsidR="001038F1" w:rsidRDefault="00E518A0" w:rsidP="00C36793">
      <w:pPr>
        <w:pStyle w:val="Saludo"/>
        <w:spacing w:after="0" w:line="276" w:lineRule="auto"/>
        <w:jc w:val="both"/>
        <w:rPr>
          <w:rStyle w:val="estilo71"/>
          <w:rFonts w:ascii="Arial" w:hAnsi="Arial" w:cs="Arial"/>
          <w:sz w:val="24"/>
        </w:rPr>
      </w:pPr>
      <w:bookmarkStart w:id="0" w:name="_Hlk54631479"/>
      <w:r w:rsidRPr="00297143">
        <w:rPr>
          <w:rFonts w:ascii="Arial" w:hAnsi="Arial" w:cs="Arial"/>
          <w:sz w:val="24"/>
          <w:szCs w:val="24"/>
        </w:rPr>
        <w:t xml:space="preserve">A la Comisión de Relaciones Exteriores de la LXIV Legislatura de la Cámara de Diputados le fue turnada, </w:t>
      </w:r>
      <w:r w:rsidR="00693708" w:rsidRPr="00297143">
        <w:rPr>
          <w:rFonts w:ascii="Arial" w:hAnsi="Arial" w:cs="Arial"/>
          <w:sz w:val="24"/>
          <w:szCs w:val="24"/>
        </w:rPr>
        <w:t xml:space="preserve">para su estudio y dictamen, </w:t>
      </w:r>
      <w:r w:rsidR="00343A14" w:rsidRPr="00297143">
        <w:rPr>
          <w:rFonts w:ascii="Arial" w:hAnsi="Arial" w:cs="Arial"/>
          <w:sz w:val="24"/>
          <w:szCs w:val="24"/>
        </w:rPr>
        <w:t>la Proposición</w:t>
      </w:r>
      <w:r w:rsidRPr="00297143">
        <w:rPr>
          <w:rFonts w:ascii="Arial" w:hAnsi="Arial" w:cs="Arial"/>
          <w:sz w:val="24"/>
          <w:szCs w:val="24"/>
        </w:rPr>
        <w:t xml:space="preserve"> con Punto de </w:t>
      </w:r>
      <w:r w:rsidR="001038F1" w:rsidRPr="00297143">
        <w:rPr>
          <w:rFonts w:ascii="Arial" w:hAnsi="Arial" w:cs="Arial"/>
          <w:sz w:val="24"/>
          <w:szCs w:val="24"/>
        </w:rPr>
        <w:t>Acuerdo</w:t>
      </w:r>
      <w:r w:rsidR="00343A14" w:rsidRPr="00297143">
        <w:rPr>
          <w:rFonts w:ascii="Arial" w:hAnsi="Arial" w:cs="Arial"/>
          <w:sz w:val="24"/>
          <w:szCs w:val="24"/>
        </w:rPr>
        <w:t xml:space="preserve">, por el </w:t>
      </w:r>
      <w:r w:rsidR="00971C8B" w:rsidRPr="00297143">
        <w:rPr>
          <w:rFonts w:ascii="Arial" w:hAnsi="Arial" w:cs="Arial"/>
          <w:sz w:val="24"/>
          <w:szCs w:val="24"/>
        </w:rPr>
        <w:t xml:space="preserve">que se </w:t>
      </w:r>
      <w:r w:rsidR="002F53CE" w:rsidRPr="00297143">
        <w:rPr>
          <w:rStyle w:val="estilo71"/>
          <w:rFonts w:ascii="Arial" w:hAnsi="Arial" w:cs="Arial"/>
          <w:sz w:val="24"/>
        </w:rPr>
        <w:t>exhorta al Ejecutivo federal, a través de la S</w:t>
      </w:r>
      <w:r w:rsidR="001E52D2">
        <w:rPr>
          <w:rStyle w:val="estilo71"/>
          <w:rFonts w:ascii="Arial" w:hAnsi="Arial" w:cs="Arial"/>
          <w:sz w:val="24"/>
        </w:rPr>
        <w:t>ecretaría de Relaciones Exteriores (S.R.E.)</w:t>
      </w:r>
      <w:r w:rsidR="002F53CE" w:rsidRPr="00297143">
        <w:rPr>
          <w:rStyle w:val="estilo71"/>
          <w:rFonts w:ascii="Arial" w:hAnsi="Arial" w:cs="Arial"/>
          <w:sz w:val="24"/>
        </w:rPr>
        <w:t xml:space="preserve">, a concretar el proceso de firma y ratificación de la Convención Interamericana sobre la </w:t>
      </w:r>
      <w:r w:rsidR="009655DC" w:rsidRPr="00297143">
        <w:rPr>
          <w:rStyle w:val="estilo71"/>
          <w:rFonts w:ascii="Arial" w:hAnsi="Arial" w:cs="Arial"/>
          <w:sz w:val="24"/>
        </w:rPr>
        <w:t>P</w:t>
      </w:r>
      <w:r w:rsidR="002F53CE" w:rsidRPr="00297143">
        <w:rPr>
          <w:rStyle w:val="estilo71"/>
          <w:rFonts w:ascii="Arial" w:hAnsi="Arial" w:cs="Arial"/>
          <w:sz w:val="24"/>
        </w:rPr>
        <w:t xml:space="preserve">rotección de los </w:t>
      </w:r>
      <w:r w:rsidR="009655DC" w:rsidRPr="00297143">
        <w:rPr>
          <w:rStyle w:val="estilo71"/>
          <w:rFonts w:ascii="Arial" w:hAnsi="Arial" w:cs="Arial"/>
          <w:sz w:val="24"/>
        </w:rPr>
        <w:t>D</w:t>
      </w:r>
      <w:r w:rsidR="002F53CE" w:rsidRPr="00297143">
        <w:rPr>
          <w:rStyle w:val="estilo71"/>
          <w:rFonts w:ascii="Arial" w:hAnsi="Arial" w:cs="Arial"/>
          <w:sz w:val="24"/>
        </w:rPr>
        <w:t xml:space="preserve">erechos </w:t>
      </w:r>
      <w:r w:rsidR="009655DC" w:rsidRPr="00297143">
        <w:rPr>
          <w:rStyle w:val="estilo71"/>
          <w:rFonts w:ascii="Arial" w:hAnsi="Arial" w:cs="Arial"/>
          <w:sz w:val="24"/>
        </w:rPr>
        <w:t>Huma</w:t>
      </w:r>
      <w:r w:rsidR="002F53CE" w:rsidRPr="00297143">
        <w:rPr>
          <w:rStyle w:val="estilo71"/>
          <w:rFonts w:ascii="Arial" w:hAnsi="Arial" w:cs="Arial"/>
          <w:sz w:val="24"/>
        </w:rPr>
        <w:t xml:space="preserve">nos de las </w:t>
      </w:r>
      <w:r w:rsidR="009655DC" w:rsidRPr="00297143">
        <w:rPr>
          <w:rStyle w:val="estilo71"/>
          <w:rFonts w:ascii="Arial" w:hAnsi="Arial" w:cs="Arial"/>
          <w:sz w:val="24"/>
        </w:rPr>
        <w:t>P</w:t>
      </w:r>
      <w:r w:rsidR="002F53CE" w:rsidRPr="00297143">
        <w:rPr>
          <w:rStyle w:val="estilo71"/>
          <w:rFonts w:ascii="Arial" w:hAnsi="Arial" w:cs="Arial"/>
          <w:sz w:val="24"/>
        </w:rPr>
        <w:t xml:space="preserve">ersonas </w:t>
      </w:r>
      <w:r w:rsidR="009655DC" w:rsidRPr="00297143">
        <w:rPr>
          <w:rStyle w:val="estilo71"/>
          <w:rFonts w:ascii="Arial" w:hAnsi="Arial" w:cs="Arial"/>
          <w:sz w:val="24"/>
        </w:rPr>
        <w:t>M</w:t>
      </w:r>
      <w:r w:rsidR="002F53CE" w:rsidRPr="00297143">
        <w:rPr>
          <w:rStyle w:val="estilo71"/>
          <w:rFonts w:ascii="Arial" w:hAnsi="Arial" w:cs="Arial"/>
          <w:sz w:val="24"/>
        </w:rPr>
        <w:t xml:space="preserve">ayores, por parte del Estado mexicano, adoptada el 15 de junio de 2015 por la Asamblea General de la </w:t>
      </w:r>
      <w:r w:rsidR="001E52D2">
        <w:rPr>
          <w:rStyle w:val="estilo71"/>
          <w:rFonts w:ascii="Arial" w:hAnsi="Arial" w:cs="Arial"/>
          <w:sz w:val="24"/>
        </w:rPr>
        <w:t>Organización de Estados Americanos (</w:t>
      </w:r>
      <w:r w:rsidR="002F53CE" w:rsidRPr="00297143">
        <w:rPr>
          <w:rStyle w:val="estilo71"/>
          <w:rFonts w:ascii="Arial" w:hAnsi="Arial" w:cs="Arial"/>
          <w:sz w:val="24"/>
        </w:rPr>
        <w:t>OEA</w:t>
      </w:r>
      <w:r w:rsidR="001E52D2">
        <w:rPr>
          <w:rStyle w:val="estilo71"/>
          <w:rFonts w:ascii="Arial" w:hAnsi="Arial" w:cs="Arial"/>
          <w:sz w:val="24"/>
        </w:rPr>
        <w:t>)</w:t>
      </w:r>
      <w:r w:rsidR="002F53CE" w:rsidRPr="00297143">
        <w:rPr>
          <w:rStyle w:val="estilo71"/>
          <w:rFonts w:ascii="Arial" w:hAnsi="Arial" w:cs="Arial"/>
          <w:sz w:val="24"/>
        </w:rPr>
        <w:t>.</w:t>
      </w:r>
    </w:p>
    <w:p w14:paraId="79BF427A" w14:textId="77777777" w:rsidR="00286729" w:rsidRPr="00286729" w:rsidRDefault="00286729" w:rsidP="00286729"/>
    <w:bookmarkEnd w:id="0"/>
    <w:p w14:paraId="3E65D05E" w14:textId="3ACED324" w:rsidR="00E518A0" w:rsidRDefault="00343A14" w:rsidP="00C36793">
      <w:pPr>
        <w:pStyle w:val="Saludo"/>
        <w:spacing w:after="0" w:line="276" w:lineRule="auto"/>
        <w:jc w:val="both"/>
        <w:rPr>
          <w:rFonts w:ascii="Arial" w:hAnsi="Arial" w:cs="Arial"/>
          <w:sz w:val="24"/>
          <w:szCs w:val="24"/>
        </w:rPr>
      </w:pPr>
      <w:r w:rsidRPr="00297143">
        <w:rPr>
          <w:rFonts w:ascii="Arial" w:hAnsi="Arial" w:cs="Arial"/>
          <w:sz w:val="24"/>
          <w:szCs w:val="24"/>
        </w:rPr>
        <w:t>La Comisión de Relaciones Exteriores, con fundamento en lo dispuesto por los artículos 39 y 45, numeral 6, incisos e) y f)</w:t>
      </w:r>
      <w:r w:rsidR="001E52D2">
        <w:rPr>
          <w:rFonts w:ascii="Arial" w:hAnsi="Arial" w:cs="Arial"/>
          <w:sz w:val="24"/>
          <w:szCs w:val="24"/>
        </w:rPr>
        <w:t>,</w:t>
      </w:r>
      <w:r w:rsidRPr="00297143">
        <w:rPr>
          <w:rFonts w:ascii="Arial" w:hAnsi="Arial" w:cs="Arial"/>
          <w:sz w:val="24"/>
          <w:szCs w:val="24"/>
        </w:rPr>
        <w:t xml:space="preserve"> de la Ley Orgánica del Congreso General de los Estados Unidos Mexicanos; 80, numeral 1, fracción </w:t>
      </w:r>
      <w:r w:rsidR="00A10247" w:rsidRPr="00297143">
        <w:rPr>
          <w:rFonts w:ascii="Arial" w:hAnsi="Arial" w:cs="Arial"/>
          <w:sz w:val="24"/>
          <w:szCs w:val="24"/>
        </w:rPr>
        <w:t>VI</w:t>
      </w:r>
      <w:r w:rsidRPr="00297143">
        <w:rPr>
          <w:rFonts w:ascii="Arial" w:hAnsi="Arial" w:cs="Arial"/>
          <w:sz w:val="24"/>
          <w:szCs w:val="24"/>
        </w:rPr>
        <w:t>; 82, numeral 1</w:t>
      </w:r>
      <w:r w:rsidR="001E52D2">
        <w:rPr>
          <w:rFonts w:ascii="Arial" w:hAnsi="Arial" w:cs="Arial"/>
          <w:sz w:val="24"/>
          <w:szCs w:val="24"/>
        </w:rPr>
        <w:t>,</w:t>
      </w:r>
      <w:r w:rsidRPr="00297143">
        <w:rPr>
          <w:rFonts w:ascii="Arial" w:hAnsi="Arial" w:cs="Arial"/>
          <w:sz w:val="24"/>
          <w:szCs w:val="24"/>
        </w:rPr>
        <w:t xml:space="preserve"> y 85 </w:t>
      </w:r>
      <w:proofErr w:type="gramStart"/>
      <w:r w:rsidRPr="00297143">
        <w:rPr>
          <w:rFonts w:ascii="Arial" w:hAnsi="Arial" w:cs="Arial"/>
          <w:sz w:val="24"/>
          <w:szCs w:val="24"/>
        </w:rPr>
        <w:t>del</w:t>
      </w:r>
      <w:proofErr w:type="gramEnd"/>
      <w:r w:rsidRPr="00297143">
        <w:rPr>
          <w:rFonts w:ascii="Arial" w:hAnsi="Arial" w:cs="Arial"/>
          <w:sz w:val="24"/>
          <w:szCs w:val="24"/>
        </w:rPr>
        <w:t xml:space="preserve"> Reglamento de la Cámara de Diputados, y habiendo analizado el contenido de la </w:t>
      </w:r>
      <w:r w:rsidR="00F405C9" w:rsidRPr="00297143">
        <w:rPr>
          <w:rFonts w:ascii="Arial" w:hAnsi="Arial" w:cs="Arial"/>
          <w:sz w:val="24"/>
          <w:szCs w:val="24"/>
        </w:rPr>
        <w:t xml:space="preserve">proposición con </w:t>
      </w:r>
      <w:r w:rsidR="001E52D2">
        <w:rPr>
          <w:rFonts w:ascii="Arial" w:hAnsi="Arial" w:cs="Arial"/>
          <w:sz w:val="24"/>
          <w:szCs w:val="24"/>
        </w:rPr>
        <w:t>P</w:t>
      </w:r>
      <w:r w:rsidR="00F405C9" w:rsidRPr="00297143">
        <w:rPr>
          <w:rFonts w:ascii="Arial" w:hAnsi="Arial" w:cs="Arial"/>
          <w:sz w:val="24"/>
          <w:szCs w:val="24"/>
        </w:rPr>
        <w:t>unto de Acuerdo</w:t>
      </w:r>
      <w:r w:rsidR="001E52D2">
        <w:rPr>
          <w:rFonts w:ascii="Arial" w:hAnsi="Arial" w:cs="Arial"/>
          <w:sz w:val="24"/>
          <w:szCs w:val="24"/>
        </w:rPr>
        <w:t xml:space="preserve"> de referencia</w:t>
      </w:r>
      <w:r w:rsidRPr="00297143">
        <w:rPr>
          <w:rFonts w:ascii="Arial" w:hAnsi="Arial" w:cs="Arial"/>
          <w:sz w:val="24"/>
          <w:szCs w:val="24"/>
        </w:rPr>
        <w:t>, somete a consideración de esta Honorable Asamblea el presente dictamen, al tenor de lo siguiente:</w:t>
      </w:r>
    </w:p>
    <w:p w14:paraId="6D3FFEA4" w14:textId="77777777" w:rsidR="00C36793" w:rsidRPr="00C36793" w:rsidRDefault="00C36793" w:rsidP="00C36793"/>
    <w:p w14:paraId="675817C6" w14:textId="4B18CC85" w:rsidR="00465C28" w:rsidRDefault="00E518A0" w:rsidP="00C36793">
      <w:pPr>
        <w:pStyle w:val="Ttulo1"/>
        <w:spacing w:after="0" w:line="276" w:lineRule="auto"/>
        <w:ind w:right="11"/>
        <w:rPr>
          <w:szCs w:val="24"/>
        </w:rPr>
      </w:pPr>
      <w:r w:rsidRPr="00297143">
        <w:rPr>
          <w:szCs w:val="24"/>
        </w:rPr>
        <w:t xml:space="preserve">ANTECEDENTES </w:t>
      </w:r>
    </w:p>
    <w:p w14:paraId="116AD65F" w14:textId="77777777" w:rsidR="00C36793" w:rsidRPr="00C36793" w:rsidRDefault="00C36793" w:rsidP="00C36793">
      <w:pPr>
        <w:rPr>
          <w:lang w:eastAsia="es-MX"/>
        </w:rPr>
      </w:pPr>
    </w:p>
    <w:p w14:paraId="6B07C81D" w14:textId="2C1D9A31" w:rsidR="001038F1" w:rsidRPr="00297143" w:rsidRDefault="00035960" w:rsidP="00C36793">
      <w:pPr>
        <w:pStyle w:val="Lista"/>
        <w:numPr>
          <w:ilvl w:val="0"/>
          <w:numId w:val="3"/>
        </w:numPr>
        <w:spacing w:after="0" w:line="276" w:lineRule="auto"/>
        <w:ind w:left="567" w:hanging="425"/>
        <w:jc w:val="both"/>
        <w:rPr>
          <w:rStyle w:val="estilo71"/>
          <w:rFonts w:ascii="Arial" w:hAnsi="Arial" w:cs="Arial"/>
          <w:sz w:val="24"/>
        </w:rPr>
      </w:pPr>
      <w:bookmarkStart w:id="1" w:name="_Hlk54631649"/>
      <w:r w:rsidRPr="00297143">
        <w:rPr>
          <w:rFonts w:ascii="Arial" w:hAnsi="Arial" w:cs="Arial"/>
          <w:sz w:val="24"/>
        </w:rPr>
        <w:t xml:space="preserve">Con fecha </w:t>
      </w:r>
      <w:r w:rsidR="003F48CD" w:rsidRPr="00297143">
        <w:rPr>
          <w:rFonts w:ascii="Arial" w:hAnsi="Arial" w:cs="Arial"/>
          <w:sz w:val="24"/>
        </w:rPr>
        <w:t>8</w:t>
      </w:r>
      <w:r w:rsidR="00465C28" w:rsidRPr="00297143">
        <w:rPr>
          <w:rFonts w:ascii="Arial" w:hAnsi="Arial" w:cs="Arial"/>
          <w:sz w:val="24"/>
        </w:rPr>
        <w:t xml:space="preserve"> de </w:t>
      </w:r>
      <w:r w:rsidR="003F48CD" w:rsidRPr="00297143">
        <w:rPr>
          <w:rFonts w:ascii="Arial" w:hAnsi="Arial" w:cs="Arial"/>
          <w:sz w:val="24"/>
        </w:rPr>
        <w:t>septiembre</w:t>
      </w:r>
      <w:r w:rsidR="00465C28" w:rsidRPr="00297143">
        <w:rPr>
          <w:rFonts w:ascii="Arial" w:hAnsi="Arial" w:cs="Arial"/>
          <w:sz w:val="24"/>
        </w:rPr>
        <w:t xml:space="preserve"> de 2020, </w:t>
      </w:r>
      <w:r w:rsidR="002F53CE" w:rsidRPr="00297143">
        <w:rPr>
          <w:rFonts w:ascii="Arial" w:hAnsi="Arial" w:cs="Arial"/>
          <w:sz w:val="24"/>
        </w:rPr>
        <w:t>el Diputado</w:t>
      </w:r>
      <w:r w:rsidR="003F48CD" w:rsidRPr="00297143">
        <w:rPr>
          <w:rFonts w:ascii="Arial" w:hAnsi="Arial" w:cs="Arial"/>
          <w:sz w:val="24"/>
        </w:rPr>
        <w:t xml:space="preserve"> </w:t>
      </w:r>
      <w:r w:rsidR="002F53CE" w:rsidRPr="00297143">
        <w:rPr>
          <w:rFonts w:ascii="Arial" w:hAnsi="Arial" w:cs="Arial"/>
          <w:sz w:val="24"/>
        </w:rPr>
        <w:t>Rubén Ignacio Moreira Valdez</w:t>
      </w:r>
      <w:r w:rsidR="00465C28" w:rsidRPr="00297143">
        <w:rPr>
          <w:rFonts w:ascii="Arial" w:hAnsi="Arial" w:cs="Arial"/>
          <w:sz w:val="24"/>
        </w:rPr>
        <w:t xml:space="preserve">, </w:t>
      </w:r>
      <w:r w:rsidR="00343A14" w:rsidRPr="00297143">
        <w:rPr>
          <w:rFonts w:ascii="Arial" w:hAnsi="Arial" w:cs="Arial"/>
          <w:sz w:val="24"/>
        </w:rPr>
        <w:t>integ</w:t>
      </w:r>
      <w:r w:rsidR="00DF1B04" w:rsidRPr="00297143">
        <w:rPr>
          <w:rFonts w:ascii="Arial" w:hAnsi="Arial" w:cs="Arial"/>
          <w:sz w:val="24"/>
        </w:rPr>
        <w:t xml:space="preserve">rante del </w:t>
      </w:r>
      <w:r w:rsidR="00D869A9" w:rsidRPr="00297143">
        <w:rPr>
          <w:rFonts w:ascii="Arial" w:hAnsi="Arial" w:cs="Arial"/>
          <w:sz w:val="24"/>
        </w:rPr>
        <w:t xml:space="preserve">Grupo Parlamentario </w:t>
      </w:r>
      <w:r w:rsidR="003F48CD" w:rsidRPr="00297143">
        <w:rPr>
          <w:rFonts w:ascii="Arial" w:hAnsi="Arial" w:cs="Arial"/>
          <w:sz w:val="24"/>
        </w:rPr>
        <w:t xml:space="preserve">de </w:t>
      </w:r>
      <w:r w:rsidR="002F53CE" w:rsidRPr="00297143">
        <w:rPr>
          <w:rFonts w:ascii="Arial" w:hAnsi="Arial" w:cs="Arial"/>
          <w:sz w:val="24"/>
        </w:rPr>
        <w:t>PRI</w:t>
      </w:r>
      <w:r w:rsidR="00465C28" w:rsidRPr="00297143">
        <w:rPr>
          <w:rFonts w:ascii="Arial" w:hAnsi="Arial" w:cs="Arial"/>
          <w:sz w:val="24"/>
        </w:rPr>
        <w:t>,</w:t>
      </w:r>
      <w:r w:rsidRPr="00297143">
        <w:rPr>
          <w:rFonts w:ascii="Arial" w:hAnsi="Arial" w:cs="Arial"/>
          <w:sz w:val="24"/>
        </w:rPr>
        <w:t xml:space="preserve"> present</w:t>
      </w:r>
      <w:r w:rsidR="003F48CD" w:rsidRPr="00297143">
        <w:rPr>
          <w:rFonts w:ascii="Arial" w:hAnsi="Arial" w:cs="Arial"/>
          <w:sz w:val="24"/>
        </w:rPr>
        <w:t>ó</w:t>
      </w:r>
      <w:r w:rsidRPr="00297143">
        <w:rPr>
          <w:rFonts w:ascii="Arial" w:hAnsi="Arial" w:cs="Arial"/>
          <w:sz w:val="24"/>
        </w:rPr>
        <w:t xml:space="preserve"> la </w:t>
      </w:r>
      <w:bookmarkStart w:id="2" w:name="_Hlk54982852"/>
      <w:r w:rsidRPr="00297143">
        <w:rPr>
          <w:rFonts w:ascii="Arial" w:hAnsi="Arial" w:cs="Arial"/>
          <w:sz w:val="24"/>
        </w:rPr>
        <w:t>Proposición c</w:t>
      </w:r>
      <w:r w:rsidR="00465C28" w:rsidRPr="00297143">
        <w:rPr>
          <w:rFonts w:ascii="Arial" w:hAnsi="Arial" w:cs="Arial"/>
          <w:sz w:val="24"/>
        </w:rPr>
        <w:t xml:space="preserve">on Punto de Acuerdo que </w:t>
      </w:r>
      <w:r w:rsidR="002F53CE" w:rsidRPr="00297143">
        <w:rPr>
          <w:rStyle w:val="estilo71"/>
          <w:rFonts w:ascii="Arial" w:hAnsi="Arial" w:cs="Arial"/>
          <w:sz w:val="24"/>
        </w:rPr>
        <w:t xml:space="preserve">exhorta al Ejecutivo </w:t>
      </w:r>
      <w:r w:rsidR="002C3CDA" w:rsidRPr="00297143">
        <w:rPr>
          <w:rStyle w:val="estilo71"/>
          <w:rFonts w:ascii="Arial" w:hAnsi="Arial" w:cs="Arial"/>
          <w:sz w:val="24"/>
        </w:rPr>
        <w:t>F</w:t>
      </w:r>
      <w:r w:rsidR="002F53CE" w:rsidRPr="00297143">
        <w:rPr>
          <w:rStyle w:val="estilo71"/>
          <w:rFonts w:ascii="Arial" w:hAnsi="Arial" w:cs="Arial"/>
          <w:sz w:val="24"/>
        </w:rPr>
        <w:t>ederal, a través de la S</w:t>
      </w:r>
      <w:r w:rsidR="001E52D2">
        <w:rPr>
          <w:rStyle w:val="estilo71"/>
          <w:rFonts w:ascii="Arial" w:hAnsi="Arial" w:cs="Arial"/>
          <w:sz w:val="24"/>
        </w:rPr>
        <w:t>.</w:t>
      </w:r>
      <w:r w:rsidR="002F53CE" w:rsidRPr="00297143">
        <w:rPr>
          <w:rStyle w:val="estilo71"/>
          <w:rFonts w:ascii="Arial" w:hAnsi="Arial" w:cs="Arial"/>
          <w:sz w:val="24"/>
        </w:rPr>
        <w:t>R</w:t>
      </w:r>
      <w:r w:rsidR="001E52D2">
        <w:rPr>
          <w:rStyle w:val="estilo71"/>
          <w:rFonts w:ascii="Arial" w:hAnsi="Arial" w:cs="Arial"/>
          <w:sz w:val="24"/>
        </w:rPr>
        <w:t>.</w:t>
      </w:r>
      <w:r w:rsidR="002F53CE" w:rsidRPr="00297143">
        <w:rPr>
          <w:rStyle w:val="estilo71"/>
          <w:rFonts w:ascii="Arial" w:hAnsi="Arial" w:cs="Arial"/>
          <w:sz w:val="24"/>
        </w:rPr>
        <w:t>E</w:t>
      </w:r>
      <w:r w:rsidR="001E52D2">
        <w:rPr>
          <w:rStyle w:val="estilo71"/>
          <w:rFonts w:ascii="Arial" w:hAnsi="Arial" w:cs="Arial"/>
          <w:sz w:val="24"/>
        </w:rPr>
        <w:t>.</w:t>
      </w:r>
      <w:r w:rsidR="002F53CE" w:rsidRPr="00297143">
        <w:rPr>
          <w:rStyle w:val="estilo71"/>
          <w:rFonts w:ascii="Arial" w:hAnsi="Arial" w:cs="Arial"/>
          <w:sz w:val="24"/>
        </w:rPr>
        <w:t xml:space="preserve">, a concretar el proceso de firma y ratificación de la Convención Interamericana, sobre la </w:t>
      </w:r>
      <w:r w:rsidR="002C3CDA" w:rsidRPr="00297143">
        <w:rPr>
          <w:rStyle w:val="estilo71"/>
          <w:rFonts w:ascii="Arial" w:hAnsi="Arial" w:cs="Arial"/>
          <w:sz w:val="24"/>
        </w:rPr>
        <w:t>P</w:t>
      </w:r>
      <w:r w:rsidR="002F53CE" w:rsidRPr="00297143">
        <w:rPr>
          <w:rStyle w:val="estilo71"/>
          <w:rFonts w:ascii="Arial" w:hAnsi="Arial" w:cs="Arial"/>
          <w:sz w:val="24"/>
        </w:rPr>
        <w:t xml:space="preserve">rotección de los </w:t>
      </w:r>
      <w:r w:rsidR="002C3CDA" w:rsidRPr="00297143">
        <w:rPr>
          <w:rStyle w:val="estilo71"/>
          <w:rFonts w:ascii="Arial" w:hAnsi="Arial" w:cs="Arial"/>
          <w:sz w:val="24"/>
        </w:rPr>
        <w:t>D</w:t>
      </w:r>
      <w:r w:rsidR="002F53CE" w:rsidRPr="00297143">
        <w:rPr>
          <w:rStyle w:val="estilo71"/>
          <w:rFonts w:ascii="Arial" w:hAnsi="Arial" w:cs="Arial"/>
          <w:sz w:val="24"/>
        </w:rPr>
        <w:t xml:space="preserve">erechos </w:t>
      </w:r>
      <w:r w:rsidR="002C3CDA" w:rsidRPr="00297143">
        <w:rPr>
          <w:rStyle w:val="estilo71"/>
          <w:rFonts w:ascii="Arial" w:hAnsi="Arial" w:cs="Arial"/>
          <w:sz w:val="24"/>
        </w:rPr>
        <w:t>H</w:t>
      </w:r>
      <w:r w:rsidR="002F53CE" w:rsidRPr="00297143">
        <w:rPr>
          <w:rStyle w:val="estilo71"/>
          <w:rFonts w:ascii="Arial" w:hAnsi="Arial" w:cs="Arial"/>
          <w:sz w:val="24"/>
        </w:rPr>
        <w:t xml:space="preserve">umanos de las </w:t>
      </w:r>
      <w:r w:rsidR="002C3CDA" w:rsidRPr="00297143">
        <w:rPr>
          <w:rStyle w:val="estilo71"/>
          <w:rFonts w:ascii="Arial" w:hAnsi="Arial" w:cs="Arial"/>
          <w:sz w:val="24"/>
        </w:rPr>
        <w:t>P</w:t>
      </w:r>
      <w:r w:rsidR="002F53CE" w:rsidRPr="00297143">
        <w:rPr>
          <w:rStyle w:val="estilo71"/>
          <w:rFonts w:ascii="Arial" w:hAnsi="Arial" w:cs="Arial"/>
          <w:sz w:val="24"/>
        </w:rPr>
        <w:t xml:space="preserve">ersonas </w:t>
      </w:r>
      <w:r w:rsidR="002C3CDA" w:rsidRPr="00297143">
        <w:rPr>
          <w:rStyle w:val="estilo71"/>
          <w:rFonts w:ascii="Arial" w:hAnsi="Arial" w:cs="Arial"/>
          <w:sz w:val="24"/>
        </w:rPr>
        <w:t>M</w:t>
      </w:r>
      <w:r w:rsidR="002F53CE" w:rsidRPr="00297143">
        <w:rPr>
          <w:rStyle w:val="estilo71"/>
          <w:rFonts w:ascii="Arial" w:hAnsi="Arial" w:cs="Arial"/>
          <w:sz w:val="24"/>
        </w:rPr>
        <w:t>ayores, por parte del Estado mexicano, adoptada el 15 de junio de 2015 por la Asamblea General de la OEA.</w:t>
      </w:r>
      <w:bookmarkEnd w:id="2"/>
    </w:p>
    <w:bookmarkEnd w:id="1"/>
    <w:p w14:paraId="326033DB" w14:textId="77777777" w:rsidR="002F53CE" w:rsidRPr="00297143" w:rsidRDefault="002F53CE" w:rsidP="00C36793">
      <w:pPr>
        <w:pStyle w:val="Lista"/>
        <w:spacing w:after="0" w:line="276" w:lineRule="auto"/>
        <w:ind w:left="567" w:firstLine="0"/>
        <w:jc w:val="both"/>
        <w:rPr>
          <w:rFonts w:ascii="Arial" w:hAnsi="Arial" w:cs="Arial"/>
          <w:sz w:val="24"/>
        </w:rPr>
      </w:pPr>
    </w:p>
    <w:p w14:paraId="1BBC428C" w14:textId="77777777" w:rsidR="00D869A9" w:rsidRPr="00297143" w:rsidRDefault="00D869A9" w:rsidP="00C36793">
      <w:pPr>
        <w:pStyle w:val="Lista"/>
        <w:numPr>
          <w:ilvl w:val="0"/>
          <w:numId w:val="3"/>
        </w:numPr>
        <w:spacing w:after="0" w:line="276" w:lineRule="auto"/>
        <w:ind w:left="567" w:hanging="425"/>
        <w:jc w:val="both"/>
        <w:rPr>
          <w:rFonts w:ascii="Arial" w:hAnsi="Arial" w:cs="Arial"/>
          <w:sz w:val="24"/>
        </w:rPr>
      </w:pPr>
      <w:r w:rsidRPr="00297143">
        <w:rPr>
          <w:rFonts w:ascii="Arial" w:hAnsi="Arial" w:cs="Arial"/>
          <w:sz w:val="24"/>
        </w:rPr>
        <w:t>En la misma fecha, la Proposición con Punto de acuerdo fue turnada para su estudio y dictamen a la Comisión de Relaciones Exteriores.</w:t>
      </w:r>
      <w:r w:rsidRPr="00297143">
        <w:rPr>
          <w:rFonts w:ascii="Arial" w:eastAsia="Arial" w:hAnsi="Arial" w:cs="Arial"/>
          <w:b/>
          <w:sz w:val="24"/>
        </w:rPr>
        <w:t xml:space="preserve"> </w:t>
      </w:r>
    </w:p>
    <w:p w14:paraId="19598017" w14:textId="7A23BF4B" w:rsidR="008A6B7A" w:rsidRDefault="008A6B7A" w:rsidP="00C36793">
      <w:pPr>
        <w:spacing w:after="0" w:line="276" w:lineRule="auto"/>
        <w:ind w:left="284"/>
        <w:contextualSpacing/>
        <w:jc w:val="both"/>
        <w:rPr>
          <w:rFonts w:ascii="Arial" w:eastAsia="Calibri" w:hAnsi="Arial" w:cs="Arial"/>
          <w:sz w:val="24"/>
          <w:szCs w:val="24"/>
        </w:rPr>
      </w:pPr>
    </w:p>
    <w:p w14:paraId="486EA3D2" w14:textId="55DE6932" w:rsidR="008E4C5E" w:rsidRDefault="008E4C5E" w:rsidP="00C36793">
      <w:pPr>
        <w:spacing w:after="0" w:line="276" w:lineRule="auto"/>
        <w:ind w:left="284"/>
        <w:contextualSpacing/>
        <w:jc w:val="both"/>
        <w:rPr>
          <w:rFonts w:ascii="Arial" w:eastAsia="Calibri" w:hAnsi="Arial" w:cs="Arial"/>
          <w:sz w:val="24"/>
          <w:szCs w:val="24"/>
        </w:rPr>
      </w:pPr>
    </w:p>
    <w:p w14:paraId="50769295" w14:textId="0C70C74D" w:rsidR="008E4C5E" w:rsidRDefault="008E4C5E" w:rsidP="00C36793">
      <w:pPr>
        <w:spacing w:after="0" w:line="276" w:lineRule="auto"/>
        <w:ind w:left="284"/>
        <w:contextualSpacing/>
        <w:jc w:val="both"/>
        <w:rPr>
          <w:rFonts w:ascii="Arial" w:eastAsia="Calibri" w:hAnsi="Arial" w:cs="Arial"/>
          <w:sz w:val="24"/>
          <w:szCs w:val="24"/>
        </w:rPr>
      </w:pPr>
    </w:p>
    <w:p w14:paraId="5D9A92C9" w14:textId="77777777" w:rsidR="008E4C5E" w:rsidRPr="00297143" w:rsidRDefault="008E4C5E" w:rsidP="00C36793">
      <w:pPr>
        <w:spacing w:after="0" w:line="276" w:lineRule="auto"/>
        <w:ind w:left="284"/>
        <w:contextualSpacing/>
        <w:jc w:val="both"/>
        <w:rPr>
          <w:rFonts w:ascii="Arial" w:eastAsia="Calibri" w:hAnsi="Arial" w:cs="Arial"/>
          <w:sz w:val="24"/>
          <w:szCs w:val="24"/>
        </w:rPr>
      </w:pPr>
    </w:p>
    <w:p w14:paraId="59A2CB5A" w14:textId="77777777" w:rsidR="008E4C5E" w:rsidRDefault="008E4C5E" w:rsidP="00C36793">
      <w:pPr>
        <w:spacing w:after="0" w:line="276" w:lineRule="auto"/>
        <w:jc w:val="center"/>
        <w:rPr>
          <w:rFonts w:ascii="Arial" w:eastAsia="Calibri" w:hAnsi="Arial" w:cs="Arial"/>
          <w:b/>
          <w:bCs/>
          <w:sz w:val="24"/>
          <w:szCs w:val="24"/>
        </w:rPr>
      </w:pPr>
    </w:p>
    <w:p w14:paraId="508C4C5E" w14:textId="0B446351" w:rsidR="00C047D1" w:rsidRPr="00297143" w:rsidRDefault="00C047D1" w:rsidP="00C36793">
      <w:pPr>
        <w:spacing w:after="0" w:line="276" w:lineRule="auto"/>
        <w:jc w:val="center"/>
        <w:rPr>
          <w:rFonts w:ascii="Arial" w:eastAsia="Calibri" w:hAnsi="Arial" w:cs="Arial"/>
          <w:b/>
          <w:bCs/>
          <w:sz w:val="24"/>
          <w:szCs w:val="24"/>
        </w:rPr>
      </w:pPr>
      <w:r w:rsidRPr="00297143">
        <w:rPr>
          <w:rFonts w:ascii="Arial" w:eastAsia="Calibri" w:hAnsi="Arial" w:cs="Arial"/>
          <w:b/>
          <w:bCs/>
          <w:sz w:val="24"/>
          <w:szCs w:val="24"/>
        </w:rPr>
        <w:t>CONTENIDO DE LA PROPOSICIÓN</w:t>
      </w:r>
    </w:p>
    <w:p w14:paraId="315AA4F1" w14:textId="77777777" w:rsidR="00C047D1" w:rsidRPr="00297143" w:rsidRDefault="00C047D1" w:rsidP="00C36793">
      <w:pPr>
        <w:spacing w:after="0" w:line="276" w:lineRule="auto"/>
        <w:jc w:val="both"/>
        <w:rPr>
          <w:rFonts w:ascii="Arial" w:eastAsia="Calibri" w:hAnsi="Arial" w:cs="Arial"/>
          <w:b/>
          <w:bCs/>
          <w:sz w:val="24"/>
          <w:szCs w:val="24"/>
        </w:rPr>
      </w:pPr>
    </w:p>
    <w:p w14:paraId="519850BB" w14:textId="36146CE0" w:rsidR="00D83FA5" w:rsidRDefault="00CC7196" w:rsidP="00C36793">
      <w:pPr>
        <w:spacing w:after="0" w:line="276" w:lineRule="auto"/>
        <w:jc w:val="both"/>
        <w:rPr>
          <w:rFonts w:ascii="Arial" w:eastAsia="Calibri" w:hAnsi="Arial" w:cs="Arial"/>
          <w:sz w:val="24"/>
          <w:szCs w:val="24"/>
        </w:rPr>
      </w:pPr>
      <w:r>
        <w:rPr>
          <w:rFonts w:ascii="Arial" w:eastAsia="Calibri" w:hAnsi="Arial" w:cs="Arial"/>
          <w:sz w:val="24"/>
          <w:szCs w:val="24"/>
        </w:rPr>
        <w:t xml:space="preserve">El </w:t>
      </w:r>
      <w:r w:rsidR="00D83FA5" w:rsidRPr="00D83FA5">
        <w:rPr>
          <w:rFonts w:ascii="Arial" w:eastAsia="Calibri" w:hAnsi="Arial" w:cs="Arial"/>
          <w:sz w:val="24"/>
          <w:szCs w:val="24"/>
        </w:rPr>
        <w:t xml:space="preserve">Diputado </w:t>
      </w:r>
      <w:r w:rsidR="008E4C5E">
        <w:rPr>
          <w:rFonts w:ascii="Arial" w:eastAsia="Calibri" w:hAnsi="Arial" w:cs="Arial"/>
          <w:sz w:val="24"/>
          <w:szCs w:val="24"/>
        </w:rPr>
        <w:t xml:space="preserve">proponente, </w:t>
      </w:r>
      <w:r w:rsidR="00D83FA5" w:rsidRPr="00D83FA5">
        <w:rPr>
          <w:rFonts w:ascii="Arial" w:eastAsia="Calibri" w:hAnsi="Arial" w:cs="Arial"/>
          <w:sz w:val="24"/>
          <w:szCs w:val="24"/>
        </w:rPr>
        <w:t>expone textualmente en sus consideraciones</w:t>
      </w:r>
      <w:r w:rsidR="008E4C5E">
        <w:rPr>
          <w:rFonts w:ascii="Arial" w:eastAsia="Calibri" w:hAnsi="Arial" w:cs="Arial"/>
          <w:sz w:val="24"/>
          <w:szCs w:val="24"/>
        </w:rPr>
        <w:t>,</w:t>
      </w:r>
      <w:r w:rsidR="00D83FA5" w:rsidRPr="00D83FA5">
        <w:rPr>
          <w:rFonts w:ascii="Arial" w:eastAsia="Calibri" w:hAnsi="Arial" w:cs="Arial"/>
          <w:sz w:val="24"/>
          <w:szCs w:val="24"/>
        </w:rPr>
        <w:t xml:space="preserve"> lo siguiente:</w:t>
      </w:r>
    </w:p>
    <w:p w14:paraId="4E0766F3" w14:textId="77777777" w:rsidR="00D83FA5" w:rsidRDefault="00D83FA5" w:rsidP="00C36793">
      <w:pPr>
        <w:spacing w:after="0" w:line="276" w:lineRule="auto"/>
        <w:jc w:val="both"/>
        <w:rPr>
          <w:rFonts w:ascii="Arial" w:eastAsia="Calibri" w:hAnsi="Arial" w:cs="Arial"/>
          <w:sz w:val="24"/>
          <w:szCs w:val="24"/>
        </w:rPr>
      </w:pPr>
    </w:p>
    <w:p w14:paraId="3FD22309" w14:textId="5943C8B0" w:rsidR="00D83FA5" w:rsidRPr="00D83FA5" w:rsidRDefault="00D83FA5" w:rsidP="00C36793">
      <w:pPr>
        <w:spacing w:after="0" w:line="276" w:lineRule="auto"/>
        <w:ind w:left="851"/>
        <w:jc w:val="both"/>
        <w:rPr>
          <w:rFonts w:ascii="Arial" w:eastAsia="Calibri" w:hAnsi="Arial" w:cs="Arial"/>
          <w:i/>
          <w:iCs/>
          <w:sz w:val="20"/>
          <w:szCs w:val="20"/>
        </w:rPr>
      </w:pPr>
      <w:r>
        <w:rPr>
          <w:rFonts w:ascii="Arial" w:eastAsia="Calibri" w:hAnsi="Arial" w:cs="Arial"/>
          <w:i/>
          <w:iCs/>
          <w:sz w:val="20"/>
          <w:szCs w:val="20"/>
        </w:rPr>
        <w:t>“</w:t>
      </w:r>
      <w:r w:rsidRPr="00D83FA5">
        <w:rPr>
          <w:rFonts w:ascii="Arial" w:eastAsia="Calibri" w:hAnsi="Arial" w:cs="Arial"/>
          <w:i/>
          <w:iCs/>
          <w:sz w:val="20"/>
          <w:szCs w:val="20"/>
        </w:rPr>
        <w:t>A mediados del siglo XX comenzó a evidenciarse un fenómeno importante a nivel mundial, el envejecimiento de la población, con un incremento gradual de las personas mayores. Este fenómeno se debe principalmente a dos factores, por un lado, el incremento de la esperanza de vida, esto gracias a los desarrollos científicos, tecnológicos, educativos y sociales; y por el otro, a la disminución en el número de nacimientos.</w:t>
      </w:r>
    </w:p>
    <w:p w14:paraId="7B96E037"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662496EA"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La situación de los adultos mayores en México se caracteriza por la intersección entre las problemáticas de salud asociadas a la vejez tales como el género y la pobreza, en un contexto de escasa protección institucional y profundas desigualdades sociales, que se observa latentes tanto en entornos rurales, como urbanos.</w:t>
      </w:r>
    </w:p>
    <w:p w14:paraId="24BE6F71"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38C61320" w14:textId="26756BAB"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La Encuesta Nacional de la Dinámica Demográfica (E</w:t>
      </w:r>
      <w:r w:rsidR="005A78F5">
        <w:rPr>
          <w:rFonts w:ascii="Arial" w:eastAsia="Calibri" w:hAnsi="Arial" w:cs="Arial"/>
          <w:i/>
          <w:iCs/>
          <w:sz w:val="20"/>
          <w:szCs w:val="20"/>
        </w:rPr>
        <w:t>NADID</w:t>
      </w:r>
      <w:r w:rsidRPr="00D83FA5">
        <w:rPr>
          <w:rFonts w:ascii="Arial" w:eastAsia="Calibri" w:hAnsi="Arial" w:cs="Arial"/>
          <w:i/>
          <w:iCs/>
          <w:sz w:val="20"/>
          <w:szCs w:val="20"/>
        </w:rPr>
        <w:t>) 2018, del Instituto Nacional de Geografía y estadística (I</w:t>
      </w:r>
      <w:r w:rsidR="005A78F5">
        <w:rPr>
          <w:rFonts w:ascii="Arial" w:eastAsia="Calibri" w:hAnsi="Arial" w:cs="Arial"/>
          <w:i/>
          <w:iCs/>
          <w:sz w:val="20"/>
          <w:szCs w:val="20"/>
        </w:rPr>
        <w:t>NEGI</w:t>
      </w:r>
      <w:r w:rsidRPr="00D83FA5">
        <w:rPr>
          <w:rFonts w:ascii="Arial" w:eastAsia="Calibri" w:hAnsi="Arial" w:cs="Arial"/>
          <w:i/>
          <w:iCs/>
          <w:sz w:val="20"/>
          <w:szCs w:val="20"/>
        </w:rPr>
        <w:t>), reportó que el número de personas de 60 años o más residente en México era de 15.4 millones, cifra que representa 12.3 por ciento de la población total, de las cuales 1.7 millones viven en solitario. Sólo 41.4 por ciento son económicamente activos, y 69.4 por ciento presentan algún tipo de discapacidad.</w:t>
      </w:r>
    </w:p>
    <w:p w14:paraId="21D87AA2"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08E561B0"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La Enadid 2018 alertó que, en México, “las personas de 60 años o más que viven solas se encuentran en estado de situación prioritaria, debido a que no cuentan con una red familiar que las apoye en un momento de su vida, donde su salud o sus condiciones económicas pueden ser precarias”.</w:t>
      </w:r>
    </w:p>
    <w:p w14:paraId="62E13F54"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764761AA"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La mayoría de ellos (47.9 por ciento) vive en hogares nucleares (formado por un grupo familiar que puede incluir a una pareja con o sin hija(o), solteros o un jefe o jefa con hija(o</w:t>
      </w:r>
      <w:proofErr w:type="gramStart"/>
      <w:r w:rsidRPr="00D83FA5">
        <w:rPr>
          <w:rFonts w:ascii="Arial" w:eastAsia="Calibri" w:hAnsi="Arial" w:cs="Arial"/>
          <w:i/>
          <w:iCs/>
          <w:sz w:val="20"/>
          <w:szCs w:val="20"/>
        </w:rPr>
        <w:t>)s</w:t>
      </w:r>
      <w:proofErr w:type="gramEnd"/>
      <w:r w:rsidRPr="00D83FA5">
        <w:rPr>
          <w:rFonts w:ascii="Arial" w:eastAsia="Calibri" w:hAnsi="Arial" w:cs="Arial"/>
          <w:i/>
          <w:iCs/>
          <w:sz w:val="20"/>
          <w:szCs w:val="20"/>
        </w:rPr>
        <w:t xml:space="preserve"> solteros). Casi cuatro de cada 10 (39.8 por ciento) residen en hogares ampliados (un solo núcleo familiar o más, y otras personas emparentadas con él o ellos) y 11.4 por ciento (1 millón 746,125) conforman hogares unipersonales, es decir, viven solos.</w:t>
      </w:r>
    </w:p>
    <w:p w14:paraId="2B7AA308"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ACD2F84"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De ese porcentaje que vive, sólo 60 por ciento son mujeres (1 millón 48 mil 426) y 40 por ciento son hombres (697 mil 699). Su estructura por edad indica que 43.1 por ciento tiene entre 60 y 69 años, mientras que más de la tercera parte (36.4 por ciento) entre 70 y 79 años. Y sólo entre 17.4 y 3.1 por ciento oscila entre los 80 y 90 años o más, respectivamente.</w:t>
      </w:r>
    </w:p>
    <w:p w14:paraId="4CA4AAFA"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6440125C"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xml:space="preserve">Según la encuesta, 36.7 por ciento de aquellos que viven solos reciben jubilación o pensión; 21.7 por ciento están ocupados, pero no reciben prestaciones; 15.7 por ciento </w:t>
      </w:r>
      <w:r w:rsidRPr="00D83FA5">
        <w:rPr>
          <w:rFonts w:ascii="Arial" w:eastAsia="Calibri" w:hAnsi="Arial" w:cs="Arial"/>
          <w:i/>
          <w:iCs/>
          <w:sz w:val="20"/>
          <w:szCs w:val="20"/>
        </w:rPr>
        <w:lastRenderedPageBreak/>
        <w:t>reciben aguinaldo y sólo 13.4 por ciento tiene vacaciones con goce de sueldo. Entre las personas de edad que viven solas, la mayoría se atiende cuando tienen un problema de salud (96.8 por ciento). El Instituto Mexicano del Seguro Social (IMSS) es la principal institución a la que acuden para atenderse (30.7 por ciento); una cuarta parte (25.4 por ciento) va a los centros de salud u hospitales de la Secretaría de Salud y uno de cada cinco (20 por ciento), a clínicas o instituciones privadas.</w:t>
      </w:r>
    </w:p>
    <w:p w14:paraId="090D2F96"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59E75100"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Los gastos destinados por las personas de 60 años o más que viven solas para alimentarse, promedia 5 mil 209 pesos trimestrales. La media que esta población gasta en el mismo periodo es de 112 pesos en medicinas, según datos de la Enadid. Entre los signos que determinan el envejecimiento de las personas se cuenta:</w:t>
      </w:r>
    </w:p>
    <w:p w14:paraId="1A1B6018"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27422C32"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La edad física: cambios físicos y biológicos que se presentan a distintos ritmos, mismos que dependen del sexo, lugar de residencia, economía, cultura, alimentación, tipo de actividades desarrolladas y emociones.</w:t>
      </w:r>
    </w:p>
    <w:p w14:paraId="30A64BD6"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76B82A21"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La edad psicológica: cambios en las emociones, sentimientos, pensamientos y el significado que para cada persona tiene la vejez. Adicionalmente se presentan cambios en los procesos psicológicos, como la memoria o el aprendizaje.</w:t>
      </w:r>
    </w:p>
    <w:p w14:paraId="12352894"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C628185"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La edad social: relacionada con los significados de la vejez, diferentes para cada grupo humano, según su historia, su cultura y su organización social.</w:t>
      </w:r>
    </w:p>
    <w:p w14:paraId="0A0F974C"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32BF922" w14:textId="3AC5334F"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Nuestro país experimenta un intenso y acelerado proceso de cambio en la distribución por edades de la población, transitamos de una población joven a una en el umbral de la vejez. De acuerdo con las proyecciones del Consejo Nacional de Población (Conapo), en 2015, de cada diez mexicanos, tres son menores de 15 años (27.6 por ciento) y sólo uno tiene 60 años o más (10 por ciento), sin embargo, para el año 2050 esta composición se verá profundamente alterada, ya que se prevé que únicamente dos de cada diez mexicanos tendrán menos de 15 años (20.7 por ciento), proporción casi idéntica a la de adultos mayores, quienes representarán 21.5 por ciento de la población total.</w:t>
      </w:r>
    </w:p>
    <w:p w14:paraId="19013B83"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5F54BFDE" w14:textId="3A4E2D80"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De esta manera, pese a que la población mexicana continúe siendo predominantemente joven, no puede soslayarse el hecho de que se dirige hacia la tercera edad, transición que inició a mediados de los años noventa y continuará durante toda la mitad del siglo XXI, primero a un ritmo moderado y después de forma acelerada. En 1990, la población de 60 años y más representaba 6.4 por ciento de la población total, proporción que aumentó a 9.9 en 2010 y alcanzará 21.5 en el año 2050, cifra que será casi idéntica a la de la población menor de 15 años, que integrará 20.7 por ciento de la población total.</w:t>
      </w:r>
    </w:p>
    <w:p w14:paraId="51519917"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426AE158"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xml:space="preserve">El envejecimiento de la población mexicana es un proceso inevitable e irreversible ya que, dada la inercia demográfica, las generaciones más numerosas, nacidas entre 1960 y 1980, </w:t>
      </w:r>
      <w:r w:rsidRPr="00D83FA5">
        <w:rPr>
          <w:rFonts w:ascii="Arial" w:eastAsia="Calibri" w:hAnsi="Arial" w:cs="Arial"/>
          <w:i/>
          <w:iCs/>
          <w:sz w:val="20"/>
          <w:szCs w:val="20"/>
        </w:rPr>
        <w:lastRenderedPageBreak/>
        <w:t>comenzarán a cumplir 60 años a partir de 2020 y con ello, de modo ineludible, crecerá el volumen de adultos mayores. De igual manera, se entiende que es una consecuencia no buscada de la transición demográfica, la cual implica desafíos y problemas no previstos ante las necesidades y atención que requiere esta población como consecuencia de la dependencia relacionada con la edad.</w:t>
      </w:r>
    </w:p>
    <w:p w14:paraId="1953CC94"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3EDC1AEA"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Aunado a lo anterior, en nuestro país este proceso ocurre en un contexto socioeconómico menos favorable y en un lapso menor al observado en las naciones desarrolladas, lo cual significa que tendrá menos tiempo y dispondrá de menos recursos para adaptarse a las consecuencias económicas, sociales y culturales, destacando las siguientes:</w:t>
      </w:r>
    </w:p>
    <w:p w14:paraId="1D0151FC"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56B2F541" w14:textId="77777777"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La insuficiencia financiera y actuarialmente deficitaria de la seguridad social y los sistemas de retiro y pensiones.</w:t>
      </w:r>
    </w:p>
    <w:p w14:paraId="2A77AE1C" w14:textId="77777777" w:rsidR="00D83FA5" w:rsidRPr="00D83FA5" w:rsidRDefault="00D83FA5" w:rsidP="00C36793">
      <w:pPr>
        <w:spacing w:after="0" w:line="276" w:lineRule="auto"/>
        <w:ind w:left="1276"/>
        <w:jc w:val="both"/>
        <w:rPr>
          <w:rFonts w:ascii="Arial" w:eastAsia="Calibri" w:hAnsi="Arial" w:cs="Arial"/>
          <w:i/>
          <w:iCs/>
          <w:sz w:val="20"/>
          <w:szCs w:val="20"/>
        </w:rPr>
      </w:pPr>
    </w:p>
    <w:p w14:paraId="4C5F2670" w14:textId="77777777"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El desplazamiento hacia edades mayores en la composición de la fuerza de trabajo y su repercusión en los mercados laborales ante la globalización económica, la transformación y tecnificación de los métodos de trabajo y los cambios en los modelos de desarrollo.</w:t>
      </w:r>
    </w:p>
    <w:p w14:paraId="79526E5A" w14:textId="77777777" w:rsidR="00D83FA5" w:rsidRPr="00D83FA5" w:rsidRDefault="00D83FA5" w:rsidP="00C36793">
      <w:pPr>
        <w:spacing w:after="0" w:line="276" w:lineRule="auto"/>
        <w:ind w:left="1276"/>
        <w:jc w:val="both"/>
        <w:rPr>
          <w:rFonts w:ascii="Arial" w:eastAsia="Calibri" w:hAnsi="Arial" w:cs="Arial"/>
          <w:i/>
          <w:iCs/>
          <w:sz w:val="20"/>
          <w:szCs w:val="20"/>
        </w:rPr>
      </w:pPr>
    </w:p>
    <w:p w14:paraId="6A606077" w14:textId="77777777"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La fragilidad en las condiciones de salud de la población en edades avanzadas, la mayor incidencia y prevalencia de enfermedades crónicas e incapacidades, imponiendo la necesidad de modificar los sistemas de salud.</w:t>
      </w:r>
    </w:p>
    <w:p w14:paraId="0E61931E" w14:textId="77777777" w:rsidR="00D83FA5" w:rsidRPr="00D83FA5" w:rsidRDefault="00D83FA5" w:rsidP="00C36793">
      <w:pPr>
        <w:spacing w:after="0" w:line="276" w:lineRule="auto"/>
        <w:ind w:left="1276"/>
        <w:jc w:val="both"/>
        <w:rPr>
          <w:rFonts w:ascii="Arial" w:eastAsia="Calibri" w:hAnsi="Arial" w:cs="Arial"/>
          <w:i/>
          <w:iCs/>
          <w:sz w:val="20"/>
          <w:szCs w:val="20"/>
        </w:rPr>
      </w:pPr>
    </w:p>
    <w:p w14:paraId="5055B03A" w14:textId="77777777"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El cambio en las relaciones familiares y las condiciones de domicilio, producto de la transformación en las estructuras familiares y de los hogares conformados cada vez con más miembros envejecidos y menos familiares en edades juveniles y de la infancia.</w:t>
      </w:r>
    </w:p>
    <w:p w14:paraId="0256821B" w14:textId="77777777" w:rsidR="00D83FA5" w:rsidRPr="00D83FA5" w:rsidRDefault="00D83FA5" w:rsidP="00C36793">
      <w:pPr>
        <w:spacing w:after="0" w:line="276" w:lineRule="auto"/>
        <w:ind w:left="1276"/>
        <w:jc w:val="both"/>
        <w:rPr>
          <w:rFonts w:ascii="Arial" w:eastAsia="Calibri" w:hAnsi="Arial" w:cs="Arial"/>
          <w:i/>
          <w:iCs/>
          <w:sz w:val="20"/>
          <w:szCs w:val="20"/>
        </w:rPr>
      </w:pPr>
    </w:p>
    <w:p w14:paraId="4BCA01E7" w14:textId="77777777"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Las necesidades de transferencias intergeneracionales e intrafamiliares ante las fallas o simple inexistencia de los sistemas públicos de apoyo a la población envejecida.</w:t>
      </w:r>
    </w:p>
    <w:p w14:paraId="1FB7C853" w14:textId="77777777" w:rsidR="00D83FA5" w:rsidRPr="00D83FA5" w:rsidRDefault="00D83FA5" w:rsidP="00C36793">
      <w:pPr>
        <w:spacing w:after="0" w:line="276" w:lineRule="auto"/>
        <w:ind w:left="1276"/>
        <w:jc w:val="both"/>
        <w:rPr>
          <w:rFonts w:ascii="Arial" w:eastAsia="Calibri" w:hAnsi="Arial" w:cs="Arial"/>
          <w:i/>
          <w:iCs/>
          <w:sz w:val="20"/>
          <w:szCs w:val="20"/>
        </w:rPr>
      </w:pPr>
    </w:p>
    <w:p w14:paraId="688CD49E" w14:textId="2D06DB4E" w:rsidR="00D83FA5" w:rsidRPr="00D83FA5" w:rsidRDefault="00D83FA5" w:rsidP="00C36793">
      <w:pPr>
        <w:spacing w:after="0" w:line="276" w:lineRule="auto"/>
        <w:ind w:left="1276"/>
        <w:jc w:val="both"/>
        <w:rPr>
          <w:rFonts w:ascii="Arial" w:eastAsia="Calibri" w:hAnsi="Arial" w:cs="Arial"/>
          <w:i/>
          <w:iCs/>
          <w:sz w:val="20"/>
          <w:szCs w:val="20"/>
        </w:rPr>
      </w:pPr>
      <w:r w:rsidRPr="00D83FA5">
        <w:rPr>
          <w:rFonts w:ascii="Arial" w:eastAsia="Calibri" w:hAnsi="Arial" w:cs="Arial"/>
          <w:i/>
          <w:iCs/>
          <w:sz w:val="20"/>
          <w:szCs w:val="20"/>
        </w:rPr>
        <w:t>• La feminización del envejecimiento, debido no sólo a la mayor sobrevivencia de las mujeres. La vulnerabilidad ante la vejez y sus aspectos físicos, sociales, éticos, legales y de derechos humanos.</w:t>
      </w:r>
    </w:p>
    <w:p w14:paraId="7DC5A1A3"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21D6EE2A"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xml:space="preserve">Por lo anterior, ante la mayor presencia de personas de 60 años y más, resulta inaplazable el diseño e implementación de políticas públicas que atiendan las necesidades y demandas de este grupo en situación prioritaria, sobre todo al considerar que, en 35 años, más de 20 por ciento de los habitantes de México se encontrará en este rango de edad. En ese sentido, se requieren políticas que mejoren la calidad de vida y el bienestar de este sector creciente de la población, que les garanticen ingresos suficientes y regulares, así como </w:t>
      </w:r>
      <w:r w:rsidRPr="00D83FA5">
        <w:rPr>
          <w:rFonts w:ascii="Arial" w:eastAsia="Calibri" w:hAnsi="Arial" w:cs="Arial"/>
          <w:i/>
          <w:iCs/>
          <w:sz w:val="20"/>
          <w:szCs w:val="20"/>
        </w:rPr>
        <w:lastRenderedPageBreak/>
        <w:t>acceso a cuidados de salud de calidad en la vejez, cuestiones que constituyen las preocupaciones principales de las personas mayores.</w:t>
      </w:r>
    </w:p>
    <w:p w14:paraId="4D7B9627"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93C284B"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Hay dos realidades que han propiciado a nivel regional un importante debate sobre el bienestar de las personas mayores. Por un lado, destaca el progresivo aumento de las personas mayores en América Latina y el Caribe; y por otro, existe una gran dispersión jurídica en cuanto a las obligaciones de los Estados de facilitar el ejercicio de derechos, en todas sus facetas, a las personas mayores.</w:t>
      </w:r>
    </w:p>
    <w:p w14:paraId="33E27BB8"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2B11DB5" w14:textId="6F7228F3"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 xml:space="preserve">Según la Comisión Económica para América Latina y el Caribe (Cepal), entre 2010 y 2030, la cantidad de personas mayores en esta región duplicará su número, pasando de 58.57 millones a 119.67 millones en este periodo, y en 2050 alcanzará la cifra de 195.87 millones. Este incremento significa </w:t>
      </w:r>
      <w:r w:rsidR="00C36793" w:rsidRPr="00D83FA5">
        <w:rPr>
          <w:rFonts w:ascii="Arial" w:eastAsia="Calibri" w:hAnsi="Arial" w:cs="Arial"/>
          <w:i/>
          <w:iCs/>
          <w:sz w:val="20"/>
          <w:szCs w:val="20"/>
        </w:rPr>
        <w:t>que,</w:t>
      </w:r>
      <w:r w:rsidRPr="00D83FA5">
        <w:rPr>
          <w:rFonts w:ascii="Arial" w:eastAsia="Calibri" w:hAnsi="Arial" w:cs="Arial"/>
          <w:i/>
          <w:iCs/>
          <w:sz w:val="20"/>
          <w:szCs w:val="20"/>
        </w:rPr>
        <w:t xml:space="preserve"> en 2050, el porcentaje de personas mayores en la región estará próxima a 25 por ciento en esta parte del continente.</w:t>
      </w:r>
    </w:p>
    <w:p w14:paraId="2FCD76C1"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7851A752"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En 1991 se aprobaron los Principios de las Naciones Unidas en favor de las Personas de Edad. A partir de entonces, se inició un proceso de casi 20 años de elaboración de instrumentos declarativos y no vinculantes referentes a aspectos relacionados con el envejecimiento y los derechos de las personas mayores. Su punto máximo fue la aprobación de la Carta de San José sobre los Derechos de las Personas Mayores de América Latina y el Caribe, en 2012.</w:t>
      </w:r>
    </w:p>
    <w:p w14:paraId="6F8CF37D"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0D66089C"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Es en este marco que en 2015 se aprueba en el seno de la Organización de Estados Americanos (OEA), luego de seis años de negociación, el único instrumento interamericano y el primero a nivel internacional, que cubre la gama de derechos a ser protegidos para las personas mayores, desde los civiles y políticos, hasta los económicos, sociales y culturales: es la Convención Interamericana sobre la Protección de los Derechos Humanos de las Personas Mayores.</w:t>
      </w:r>
    </w:p>
    <w:p w14:paraId="1E650870"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208256B1" w14:textId="25017A45"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El objeto de la Convención, como primer instrumento jurídicamente vinculante del mundo, es promover, proteger y asegurar el reconocimiento y el pleno goce y ejercicio, en condiciones de igualdad, de todos los derechos humanos y libertades fundamentales de la persona mayor, a fin de contribuir a su plena inclusión, integración y participación en la sociedad. La Convención subraya que: “la persona mayor tiene los mismos derechos humanos y libertades fundamentales que otras personas, y que estos derechos, incluido el de no verse sometida a discriminación fundada en la edad ni a ningún tipo de violencia, dimanan de la dignidad y la igualdad que son inherentes a todo ser humano”</w:t>
      </w:r>
    </w:p>
    <w:p w14:paraId="34873C16" w14:textId="77777777" w:rsidR="00D83FA5" w:rsidRDefault="00D83FA5" w:rsidP="00C36793">
      <w:pPr>
        <w:spacing w:after="0" w:line="276" w:lineRule="auto"/>
        <w:ind w:left="851"/>
        <w:jc w:val="both"/>
        <w:rPr>
          <w:rFonts w:ascii="Arial" w:eastAsia="Calibri" w:hAnsi="Arial" w:cs="Arial"/>
          <w:sz w:val="24"/>
          <w:szCs w:val="24"/>
        </w:rPr>
      </w:pPr>
    </w:p>
    <w:p w14:paraId="4CD3EB25" w14:textId="41354AE6" w:rsidR="00D83FA5" w:rsidRDefault="00D83FA5" w:rsidP="00C36793">
      <w:pPr>
        <w:spacing w:after="0" w:line="276" w:lineRule="auto"/>
        <w:ind w:left="851"/>
        <w:jc w:val="both"/>
        <w:rPr>
          <w:rFonts w:ascii="Arial" w:eastAsia="Calibri" w:hAnsi="Arial" w:cs="Arial"/>
          <w:sz w:val="24"/>
          <w:szCs w:val="24"/>
        </w:rPr>
      </w:pPr>
      <w:r w:rsidRPr="00D83FA5">
        <w:rPr>
          <w:rFonts w:ascii="Arial" w:hAnsi="Arial" w:cs="Arial"/>
          <w:noProof/>
          <w:sz w:val="16"/>
          <w:szCs w:val="16"/>
          <w:lang w:eastAsia="es-MX"/>
        </w:rPr>
        <w:lastRenderedPageBreak/>
        <w:drawing>
          <wp:inline distT="0" distB="0" distL="0" distR="0" wp14:anchorId="5D0BDEA3" wp14:editId="2B0D808D">
            <wp:extent cx="5076825" cy="2466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466975"/>
                    </a:xfrm>
                    <a:prstGeom prst="rect">
                      <a:avLst/>
                    </a:prstGeom>
                    <a:noFill/>
                    <a:ln>
                      <a:noFill/>
                    </a:ln>
                  </pic:spPr>
                </pic:pic>
              </a:graphicData>
            </a:graphic>
          </wp:inline>
        </w:drawing>
      </w:r>
    </w:p>
    <w:p w14:paraId="3D673C59" w14:textId="40095FF0" w:rsidR="00D83FA5" w:rsidRPr="00D83FA5" w:rsidRDefault="00D83FA5" w:rsidP="00C36793">
      <w:pPr>
        <w:tabs>
          <w:tab w:val="left" w:pos="993"/>
        </w:tabs>
        <w:spacing w:after="0" w:line="276" w:lineRule="auto"/>
        <w:ind w:left="851" w:hanging="142"/>
        <w:jc w:val="both"/>
        <w:rPr>
          <w:rFonts w:ascii="Arial" w:eastAsia="Calibri" w:hAnsi="Arial" w:cs="Arial"/>
          <w:i/>
          <w:iCs/>
          <w:sz w:val="20"/>
          <w:szCs w:val="20"/>
        </w:rPr>
      </w:pPr>
      <w:r>
        <w:rPr>
          <w:rFonts w:ascii="Arial" w:eastAsia="Calibri" w:hAnsi="Arial" w:cs="Arial"/>
          <w:sz w:val="24"/>
          <w:szCs w:val="24"/>
        </w:rPr>
        <w:tab/>
      </w:r>
      <w:r w:rsidRPr="00D83FA5">
        <w:rPr>
          <w:rFonts w:ascii="Arial" w:eastAsia="Calibri" w:hAnsi="Arial" w:cs="Arial"/>
          <w:i/>
          <w:iCs/>
          <w:sz w:val="20"/>
          <w:szCs w:val="20"/>
        </w:rPr>
        <w:t>La Convención fue aprobada el 15 de junio de 2015 por los estados miembros de la OEA en el marco de la asamblea general de la institución. Fue firmada de inmediato por los gobiernos de Argentina, Bolivia, Brasil, Chile, Costa Rica, Ecuador, El Salvador y Uruguay y Colombia.</w:t>
      </w:r>
    </w:p>
    <w:p w14:paraId="3C8309CF"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0A1C1E1F"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Las personas mayores como sujetos de derechos tienen por objeto promover, proteger y asegurar el goce pleno de todos los derechos humanos por parte de este grupo social, y desarrollar el respeto a su dignidad, en igualdad de condiciones con las demás personas. Garantizar sus derechos humanos es aceptarlas como ciudadanos que siguen contribuyendo al desarrollo de sociedades maduras y democráticas.</w:t>
      </w:r>
    </w:p>
    <w:p w14:paraId="73BC4F85"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A438D5E"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Nadie por el simple hecho de envejecer pierde sus derechos. Afortunadamente nuestra región, hoy cuenta con la Convención Interamericana sobre la Protección de los Derechos Humanos de las Personas Mayores y se ha adherido a la Agenda 2030 que plantea que “Nadie quede atrás”. Los estados y la sociedad civil debemos hacer todo lo posible para no dejar atrás a las personas mayores.</w:t>
      </w:r>
    </w:p>
    <w:p w14:paraId="2C92FFEE"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1E710A74"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De garantizar derechos integrales a las personas adultas mayores en México, se permite que accedan a una vida digna, lo cual se logra desarrollando estrategias con enfoque multidisciplinario y con perspectiva de derechos humanos, reconociendo los civiles, políticos, sociales y culturales de este segmento de la población.</w:t>
      </w:r>
    </w:p>
    <w:p w14:paraId="71AAD86F"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423E016D"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Por las consideraciones expuestas, en nuestra calidad de diputadas y diputados integrantes del Grupo Parlamentario de PRI en la LXIV Legislatura, sometemos a consideración de esta honorable soberanía la siguiente proposición con</w:t>
      </w:r>
    </w:p>
    <w:p w14:paraId="5FC98A0A"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51C17A7F" w14:textId="77777777"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t>Punto de Acuerdo</w:t>
      </w:r>
    </w:p>
    <w:p w14:paraId="06854450"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419A734D" w14:textId="584FB86B" w:rsidR="00D83FA5" w:rsidRPr="00D83FA5" w:rsidRDefault="00D83FA5" w:rsidP="00C36793">
      <w:pPr>
        <w:spacing w:after="0" w:line="276" w:lineRule="auto"/>
        <w:ind w:left="851"/>
        <w:jc w:val="both"/>
        <w:rPr>
          <w:rFonts w:ascii="Arial" w:eastAsia="Calibri" w:hAnsi="Arial" w:cs="Arial"/>
          <w:i/>
          <w:iCs/>
          <w:sz w:val="20"/>
          <w:szCs w:val="20"/>
        </w:rPr>
      </w:pPr>
      <w:r w:rsidRPr="00D83FA5">
        <w:rPr>
          <w:rFonts w:ascii="Arial" w:eastAsia="Calibri" w:hAnsi="Arial" w:cs="Arial"/>
          <w:i/>
          <w:iCs/>
          <w:sz w:val="20"/>
          <w:szCs w:val="20"/>
        </w:rPr>
        <w:lastRenderedPageBreak/>
        <w:t>Único. Se exhorta al titular del Poder Ejecutivo federal, para que a través de la Secretaría de Relaciones Exteriores se concrete el proceso de firma y ratificación de la Convención Interamericana sobre la Protección de los Derechos Humanos de las Personas Mayores, por parte del Estado mexicano, adoptada el 15 de junio de 2015 por la Asamblea General de la Organización de los Estados Americanos</w:t>
      </w:r>
      <w:r>
        <w:rPr>
          <w:rFonts w:ascii="Arial" w:eastAsia="Calibri" w:hAnsi="Arial" w:cs="Arial"/>
          <w:i/>
          <w:iCs/>
          <w:sz w:val="20"/>
          <w:szCs w:val="20"/>
        </w:rPr>
        <w:t>”</w:t>
      </w:r>
      <w:r w:rsidRPr="00D83FA5">
        <w:rPr>
          <w:rFonts w:ascii="Arial" w:eastAsia="Calibri" w:hAnsi="Arial" w:cs="Arial"/>
          <w:i/>
          <w:iCs/>
          <w:sz w:val="20"/>
          <w:szCs w:val="20"/>
        </w:rPr>
        <w:t>.</w:t>
      </w:r>
    </w:p>
    <w:p w14:paraId="5D461A53" w14:textId="77777777" w:rsidR="00D83FA5" w:rsidRPr="00D83FA5" w:rsidRDefault="00D83FA5" w:rsidP="00C36793">
      <w:pPr>
        <w:spacing w:after="0" w:line="276" w:lineRule="auto"/>
        <w:ind w:left="851"/>
        <w:jc w:val="both"/>
        <w:rPr>
          <w:rFonts w:ascii="Arial" w:eastAsia="Calibri" w:hAnsi="Arial" w:cs="Arial"/>
          <w:i/>
          <w:iCs/>
          <w:sz w:val="20"/>
          <w:szCs w:val="20"/>
        </w:rPr>
      </w:pPr>
    </w:p>
    <w:p w14:paraId="388D6F90" w14:textId="3897B433" w:rsidR="00D83FA5" w:rsidRDefault="00D83FA5" w:rsidP="00C36793">
      <w:pPr>
        <w:spacing w:after="0" w:line="276" w:lineRule="auto"/>
        <w:ind w:left="851"/>
        <w:jc w:val="both"/>
        <w:rPr>
          <w:rFonts w:ascii="Arial" w:eastAsia="Calibri" w:hAnsi="Arial" w:cs="Arial"/>
          <w:sz w:val="24"/>
          <w:szCs w:val="24"/>
        </w:rPr>
      </w:pPr>
      <w:r w:rsidRPr="00D83FA5">
        <w:rPr>
          <w:rFonts w:ascii="Arial" w:eastAsia="Calibri" w:hAnsi="Arial" w:cs="Arial"/>
          <w:i/>
          <w:iCs/>
          <w:sz w:val="20"/>
          <w:szCs w:val="20"/>
        </w:rPr>
        <w:t>Diputados: Rubén Ignacio Moreira Valdez, Ximena Puente de la Mora, Hortensia María Luisa Noroña Quezada (rúbricas)</w:t>
      </w:r>
      <w:r w:rsidR="006601F5">
        <w:rPr>
          <w:rFonts w:ascii="Arial" w:eastAsia="Calibri" w:hAnsi="Arial" w:cs="Arial"/>
          <w:i/>
          <w:iCs/>
          <w:sz w:val="20"/>
          <w:szCs w:val="20"/>
        </w:rPr>
        <w:t>”</w:t>
      </w:r>
      <w:r w:rsidRPr="00D83FA5">
        <w:rPr>
          <w:rFonts w:ascii="Arial" w:eastAsia="Calibri" w:hAnsi="Arial" w:cs="Arial"/>
          <w:i/>
          <w:iCs/>
          <w:sz w:val="20"/>
          <w:szCs w:val="20"/>
        </w:rPr>
        <w:t>.</w:t>
      </w:r>
    </w:p>
    <w:p w14:paraId="71BE7821" w14:textId="5A6B7064" w:rsidR="00251253" w:rsidRDefault="00251253" w:rsidP="00C36793">
      <w:pPr>
        <w:spacing w:after="0" w:line="276" w:lineRule="auto"/>
        <w:jc w:val="center"/>
        <w:rPr>
          <w:rFonts w:ascii="Arial" w:eastAsia="Calibri" w:hAnsi="Arial" w:cs="Arial"/>
          <w:b/>
          <w:bCs/>
          <w:sz w:val="24"/>
          <w:szCs w:val="24"/>
        </w:rPr>
      </w:pPr>
    </w:p>
    <w:p w14:paraId="66C39C32" w14:textId="77777777" w:rsidR="008E4C5E" w:rsidRDefault="008E4C5E" w:rsidP="00C36793">
      <w:pPr>
        <w:spacing w:after="0" w:line="276" w:lineRule="auto"/>
        <w:jc w:val="center"/>
        <w:rPr>
          <w:rFonts w:ascii="Arial" w:eastAsia="Calibri" w:hAnsi="Arial" w:cs="Arial"/>
          <w:b/>
          <w:bCs/>
          <w:sz w:val="24"/>
          <w:szCs w:val="24"/>
        </w:rPr>
      </w:pPr>
    </w:p>
    <w:p w14:paraId="4B6BFC7B" w14:textId="331379EF" w:rsidR="00D83FA5" w:rsidRDefault="000F66EC" w:rsidP="00C36793">
      <w:pPr>
        <w:spacing w:after="0" w:line="276" w:lineRule="auto"/>
        <w:jc w:val="center"/>
        <w:rPr>
          <w:rFonts w:ascii="Arial" w:eastAsia="Calibri" w:hAnsi="Arial" w:cs="Arial"/>
          <w:b/>
          <w:bCs/>
          <w:sz w:val="24"/>
          <w:szCs w:val="24"/>
        </w:rPr>
      </w:pPr>
      <w:r w:rsidRPr="000F66EC">
        <w:rPr>
          <w:rFonts w:ascii="Arial" w:eastAsia="Calibri" w:hAnsi="Arial" w:cs="Arial"/>
          <w:b/>
          <w:bCs/>
          <w:sz w:val="24"/>
          <w:szCs w:val="24"/>
        </w:rPr>
        <w:t>CONSIDERACIONES</w:t>
      </w:r>
    </w:p>
    <w:p w14:paraId="0D3987B1" w14:textId="77777777" w:rsidR="00251253" w:rsidRDefault="00251253" w:rsidP="00C36793">
      <w:pPr>
        <w:spacing w:after="0" w:line="276" w:lineRule="auto"/>
        <w:jc w:val="center"/>
        <w:rPr>
          <w:rFonts w:ascii="Arial" w:eastAsia="Calibri" w:hAnsi="Arial" w:cs="Arial"/>
          <w:sz w:val="24"/>
          <w:szCs w:val="24"/>
        </w:rPr>
      </w:pPr>
    </w:p>
    <w:p w14:paraId="08B1CFF2" w14:textId="53AC1BE6" w:rsidR="000F5040" w:rsidRPr="00297143" w:rsidRDefault="000F66EC" w:rsidP="00C36793">
      <w:pPr>
        <w:spacing w:after="0" w:line="276" w:lineRule="auto"/>
        <w:jc w:val="both"/>
        <w:rPr>
          <w:rFonts w:ascii="Arial" w:eastAsia="Calibri" w:hAnsi="Arial" w:cs="Arial"/>
          <w:sz w:val="24"/>
          <w:szCs w:val="24"/>
        </w:rPr>
      </w:pPr>
      <w:r w:rsidRPr="000F66EC">
        <w:rPr>
          <w:rFonts w:ascii="Arial" w:eastAsia="Calibri" w:hAnsi="Arial" w:cs="Arial"/>
          <w:b/>
          <w:bCs/>
          <w:sz w:val="24"/>
          <w:szCs w:val="24"/>
        </w:rPr>
        <w:t>PRIMERA.</w:t>
      </w:r>
      <w:r>
        <w:rPr>
          <w:rFonts w:ascii="Arial" w:eastAsia="Calibri" w:hAnsi="Arial" w:cs="Arial"/>
          <w:sz w:val="24"/>
          <w:szCs w:val="24"/>
        </w:rPr>
        <w:t xml:space="preserve"> </w:t>
      </w:r>
      <w:r w:rsidR="00294F77">
        <w:rPr>
          <w:rFonts w:ascii="Arial" w:eastAsia="Calibri" w:hAnsi="Arial" w:cs="Arial"/>
          <w:sz w:val="24"/>
          <w:szCs w:val="24"/>
        </w:rPr>
        <w:t xml:space="preserve">Como ya ha sucedido en distintas partes del mundo, en </w:t>
      </w:r>
      <w:r w:rsidR="00B779A7" w:rsidRPr="00297143">
        <w:rPr>
          <w:rFonts w:ascii="Arial" w:eastAsia="Calibri" w:hAnsi="Arial" w:cs="Arial"/>
          <w:sz w:val="24"/>
          <w:szCs w:val="24"/>
        </w:rPr>
        <w:t>América Latina</w:t>
      </w:r>
      <w:r w:rsidR="006525C8" w:rsidRPr="00297143">
        <w:rPr>
          <w:rFonts w:ascii="Arial" w:eastAsia="Calibri" w:hAnsi="Arial" w:cs="Arial"/>
          <w:sz w:val="24"/>
          <w:szCs w:val="24"/>
        </w:rPr>
        <w:t xml:space="preserve"> y el Caribe</w:t>
      </w:r>
      <w:r w:rsidR="00B779A7" w:rsidRPr="00297143">
        <w:rPr>
          <w:rFonts w:ascii="Arial" w:eastAsia="Calibri" w:hAnsi="Arial" w:cs="Arial"/>
          <w:sz w:val="24"/>
          <w:szCs w:val="24"/>
        </w:rPr>
        <w:t>,</w:t>
      </w:r>
      <w:r w:rsidR="00294F77">
        <w:rPr>
          <w:rFonts w:ascii="Arial" w:eastAsia="Calibri" w:hAnsi="Arial" w:cs="Arial"/>
          <w:sz w:val="24"/>
          <w:szCs w:val="24"/>
        </w:rPr>
        <w:t xml:space="preserve"> y de manera particular en </w:t>
      </w:r>
      <w:r w:rsidR="00294F77" w:rsidRPr="00297143">
        <w:rPr>
          <w:rFonts w:ascii="Arial" w:eastAsia="Calibri" w:hAnsi="Arial" w:cs="Arial"/>
          <w:sz w:val="24"/>
          <w:szCs w:val="24"/>
        </w:rPr>
        <w:t>México,</w:t>
      </w:r>
      <w:r w:rsidR="00B779A7" w:rsidRPr="00297143">
        <w:rPr>
          <w:rFonts w:ascii="Arial" w:eastAsia="Calibri" w:hAnsi="Arial" w:cs="Arial"/>
          <w:sz w:val="24"/>
          <w:szCs w:val="24"/>
        </w:rPr>
        <w:t xml:space="preserve"> </w:t>
      </w:r>
      <w:r w:rsidR="00294F77">
        <w:rPr>
          <w:rFonts w:ascii="Arial" w:eastAsia="Calibri" w:hAnsi="Arial" w:cs="Arial"/>
          <w:sz w:val="24"/>
          <w:szCs w:val="24"/>
        </w:rPr>
        <w:t xml:space="preserve">hay </w:t>
      </w:r>
      <w:r w:rsidR="000F5040" w:rsidRPr="00297143">
        <w:rPr>
          <w:rFonts w:ascii="Arial" w:eastAsia="Calibri" w:hAnsi="Arial" w:cs="Arial"/>
          <w:sz w:val="24"/>
          <w:szCs w:val="24"/>
        </w:rPr>
        <w:t xml:space="preserve">un proceso de cambio en la distribución </w:t>
      </w:r>
      <w:r w:rsidR="00B779A7" w:rsidRPr="00297143">
        <w:rPr>
          <w:rFonts w:ascii="Arial" w:eastAsia="Calibri" w:hAnsi="Arial" w:cs="Arial"/>
          <w:sz w:val="24"/>
          <w:szCs w:val="24"/>
        </w:rPr>
        <w:t xml:space="preserve">de edades </w:t>
      </w:r>
      <w:r w:rsidR="000F5040" w:rsidRPr="00297143">
        <w:rPr>
          <w:rFonts w:ascii="Arial" w:eastAsia="Calibri" w:hAnsi="Arial" w:cs="Arial"/>
          <w:sz w:val="24"/>
          <w:szCs w:val="24"/>
        </w:rPr>
        <w:t>de la población</w:t>
      </w:r>
      <w:r w:rsidR="00294F77">
        <w:rPr>
          <w:rFonts w:ascii="Arial" w:eastAsia="Calibri" w:hAnsi="Arial" w:cs="Arial"/>
          <w:sz w:val="24"/>
          <w:szCs w:val="24"/>
        </w:rPr>
        <w:t>. A</w:t>
      </w:r>
      <w:r w:rsidR="00465B89" w:rsidRPr="00297143">
        <w:rPr>
          <w:rFonts w:ascii="Arial" w:eastAsia="Calibri" w:hAnsi="Arial" w:cs="Arial"/>
          <w:sz w:val="24"/>
          <w:szCs w:val="24"/>
        </w:rPr>
        <w:t xml:space="preserve"> medida</w:t>
      </w:r>
      <w:r w:rsidR="00B779A7" w:rsidRPr="00297143">
        <w:rPr>
          <w:rFonts w:ascii="Arial" w:eastAsia="Calibri" w:hAnsi="Arial" w:cs="Arial"/>
          <w:sz w:val="24"/>
          <w:szCs w:val="24"/>
        </w:rPr>
        <w:t xml:space="preserve"> que</w:t>
      </w:r>
      <w:r w:rsidR="00297A94">
        <w:rPr>
          <w:rFonts w:ascii="Arial" w:eastAsia="Calibri" w:hAnsi="Arial" w:cs="Arial"/>
          <w:sz w:val="24"/>
          <w:szCs w:val="24"/>
        </w:rPr>
        <w:t xml:space="preserve"> </w:t>
      </w:r>
      <w:r w:rsidR="00294F77">
        <w:rPr>
          <w:rFonts w:ascii="Arial" w:eastAsia="Calibri" w:hAnsi="Arial" w:cs="Arial"/>
          <w:sz w:val="24"/>
          <w:szCs w:val="24"/>
        </w:rPr>
        <w:t xml:space="preserve">se </w:t>
      </w:r>
      <w:r w:rsidR="00465B89" w:rsidRPr="00297143">
        <w:rPr>
          <w:rFonts w:ascii="Arial" w:eastAsia="Calibri" w:hAnsi="Arial" w:cs="Arial"/>
          <w:sz w:val="24"/>
          <w:szCs w:val="24"/>
        </w:rPr>
        <w:t>reduce</w:t>
      </w:r>
      <w:r w:rsidR="00B779A7" w:rsidRPr="00297143">
        <w:rPr>
          <w:rFonts w:ascii="Arial" w:eastAsia="Calibri" w:hAnsi="Arial" w:cs="Arial"/>
          <w:sz w:val="24"/>
          <w:szCs w:val="24"/>
        </w:rPr>
        <w:t xml:space="preserve"> la fecundidad</w:t>
      </w:r>
      <w:r w:rsidR="00294F77">
        <w:rPr>
          <w:rFonts w:ascii="Arial" w:eastAsia="Calibri" w:hAnsi="Arial" w:cs="Arial"/>
          <w:sz w:val="24"/>
          <w:szCs w:val="24"/>
        </w:rPr>
        <w:t>,</w:t>
      </w:r>
      <w:r w:rsidR="00B779A7" w:rsidRPr="00297143">
        <w:rPr>
          <w:rFonts w:ascii="Arial" w:eastAsia="Calibri" w:hAnsi="Arial" w:cs="Arial"/>
          <w:sz w:val="24"/>
          <w:szCs w:val="24"/>
        </w:rPr>
        <w:t xml:space="preserve"> aumenta la esperanza de vida</w:t>
      </w:r>
      <w:r w:rsidR="00294F77">
        <w:rPr>
          <w:rFonts w:ascii="Arial" w:eastAsia="Calibri" w:hAnsi="Arial" w:cs="Arial"/>
          <w:sz w:val="24"/>
          <w:szCs w:val="24"/>
        </w:rPr>
        <w:t xml:space="preserve"> y</w:t>
      </w:r>
      <w:r w:rsidR="00960FCF">
        <w:rPr>
          <w:rFonts w:ascii="Arial" w:eastAsia="Calibri" w:hAnsi="Arial" w:cs="Arial"/>
          <w:sz w:val="24"/>
          <w:szCs w:val="24"/>
        </w:rPr>
        <w:t xml:space="preserve"> crece también </w:t>
      </w:r>
      <w:r w:rsidR="00297A94">
        <w:rPr>
          <w:rFonts w:ascii="Arial" w:eastAsia="Calibri" w:hAnsi="Arial" w:cs="Arial"/>
          <w:sz w:val="24"/>
          <w:szCs w:val="24"/>
        </w:rPr>
        <w:t>l</w:t>
      </w:r>
      <w:r w:rsidR="000F5040" w:rsidRPr="00297143">
        <w:rPr>
          <w:rFonts w:ascii="Arial" w:eastAsia="Calibri" w:hAnsi="Arial" w:cs="Arial"/>
          <w:sz w:val="24"/>
          <w:szCs w:val="24"/>
        </w:rPr>
        <w:t>a población de adultos mayores</w:t>
      </w:r>
      <w:r w:rsidR="00297A94">
        <w:rPr>
          <w:rFonts w:ascii="Arial" w:eastAsia="Calibri" w:hAnsi="Arial" w:cs="Arial"/>
          <w:sz w:val="24"/>
          <w:szCs w:val="24"/>
        </w:rPr>
        <w:t xml:space="preserve"> </w:t>
      </w:r>
      <w:r w:rsidR="00294F77">
        <w:rPr>
          <w:rFonts w:ascii="Arial" w:eastAsia="Calibri" w:hAnsi="Arial" w:cs="Arial"/>
          <w:sz w:val="24"/>
          <w:szCs w:val="24"/>
        </w:rPr>
        <w:t>c</w:t>
      </w:r>
      <w:r w:rsidR="00022B9C" w:rsidRPr="00297143">
        <w:rPr>
          <w:rFonts w:ascii="Arial" w:eastAsia="Calibri" w:hAnsi="Arial" w:cs="Arial"/>
          <w:sz w:val="24"/>
          <w:szCs w:val="24"/>
        </w:rPr>
        <w:t>on necesidades básicas y</w:t>
      </w:r>
      <w:r w:rsidR="00294F77">
        <w:rPr>
          <w:rFonts w:ascii="Arial" w:eastAsia="Calibri" w:hAnsi="Arial" w:cs="Arial"/>
          <w:sz w:val="24"/>
          <w:szCs w:val="24"/>
        </w:rPr>
        <w:t>,</w:t>
      </w:r>
      <w:r w:rsidR="00022B9C" w:rsidRPr="00297143">
        <w:rPr>
          <w:rFonts w:ascii="Arial" w:eastAsia="Calibri" w:hAnsi="Arial" w:cs="Arial"/>
          <w:sz w:val="24"/>
          <w:szCs w:val="24"/>
        </w:rPr>
        <w:t xml:space="preserve"> </w:t>
      </w:r>
      <w:r w:rsidR="002E2882" w:rsidRPr="00297143">
        <w:rPr>
          <w:rFonts w:ascii="Arial" w:eastAsia="Calibri" w:hAnsi="Arial" w:cs="Arial"/>
          <w:sz w:val="24"/>
          <w:szCs w:val="24"/>
        </w:rPr>
        <w:t xml:space="preserve">la mayoría de </w:t>
      </w:r>
      <w:r w:rsidR="00960FCF">
        <w:rPr>
          <w:rFonts w:ascii="Arial" w:eastAsia="Calibri" w:hAnsi="Arial" w:cs="Arial"/>
          <w:sz w:val="24"/>
          <w:szCs w:val="24"/>
        </w:rPr>
        <w:t xml:space="preserve">las </w:t>
      </w:r>
      <w:r w:rsidR="002E2882" w:rsidRPr="00297143">
        <w:rPr>
          <w:rFonts w:ascii="Arial" w:eastAsia="Calibri" w:hAnsi="Arial" w:cs="Arial"/>
          <w:sz w:val="24"/>
          <w:szCs w:val="24"/>
        </w:rPr>
        <w:t>v</w:t>
      </w:r>
      <w:r w:rsidR="00022B9C" w:rsidRPr="00297143">
        <w:rPr>
          <w:rFonts w:ascii="Arial" w:eastAsia="Calibri" w:hAnsi="Arial" w:cs="Arial"/>
          <w:sz w:val="24"/>
          <w:szCs w:val="24"/>
        </w:rPr>
        <w:t>eces</w:t>
      </w:r>
      <w:r w:rsidR="00294F77">
        <w:rPr>
          <w:rFonts w:ascii="Arial" w:eastAsia="Calibri" w:hAnsi="Arial" w:cs="Arial"/>
          <w:sz w:val="24"/>
          <w:szCs w:val="24"/>
        </w:rPr>
        <w:t>,</w:t>
      </w:r>
      <w:r w:rsidR="00022B9C" w:rsidRPr="00297143">
        <w:rPr>
          <w:rFonts w:ascii="Arial" w:eastAsia="Calibri" w:hAnsi="Arial" w:cs="Arial"/>
          <w:sz w:val="24"/>
          <w:szCs w:val="24"/>
        </w:rPr>
        <w:t xml:space="preserve"> </w:t>
      </w:r>
      <w:r w:rsidR="008A6B7A" w:rsidRPr="00297143">
        <w:rPr>
          <w:rFonts w:ascii="Arial" w:eastAsia="Calibri" w:hAnsi="Arial" w:cs="Arial"/>
          <w:sz w:val="24"/>
          <w:szCs w:val="24"/>
        </w:rPr>
        <w:t xml:space="preserve">con </w:t>
      </w:r>
      <w:r w:rsidR="00294F77">
        <w:rPr>
          <w:rFonts w:ascii="Arial" w:eastAsia="Calibri" w:hAnsi="Arial" w:cs="Arial"/>
          <w:sz w:val="24"/>
          <w:szCs w:val="24"/>
        </w:rPr>
        <w:t>múltiples</w:t>
      </w:r>
      <w:r w:rsidR="008A6B7A" w:rsidRPr="00297143">
        <w:rPr>
          <w:rFonts w:ascii="Arial" w:eastAsia="Calibri" w:hAnsi="Arial" w:cs="Arial"/>
          <w:sz w:val="24"/>
          <w:szCs w:val="24"/>
        </w:rPr>
        <w:t xml:space="preserve"> carencias</w:t>
      </w:r>
      <w:r w:rsidR="00B779A7" w:rsidRPr="00297143">
        <w:rPr>
          <w:rFonts w:ascii="Arial" w:eastAsia="Calibri" w:hAnsi="Arial" w:cs="Arial"/>
          <w:sz w:val="24"/>
          <w:szCs w:val="24"/>
        </w:rPr>
        <w:t xml:space="preserve">, </w:t>
      </w:r>
      <w:r w:rsidR="00082902" w:rsidRPr="00297143">
        <w:rPr>
          <w:rFonts w:ascii="Arial" w:eastAsia="Calibri" w:hAnsi="Arial" w:cs="Arial"/>
          <w:sz w:val="24"/>
          <w:szCs w:val="24"/>
        </w:rPr>
        <w:t>condición que</w:t>
      </w:r>
      <w:r w:rsidR="00B779A7" w:rsidRPr="00297143">
        <w:rPr>
          <w:rFonts w:ascii="Arial" w:eastAsia="Calibri" w:hAnsi="Arial" w:cs="Arial"/>
          <w:sz w:val="24"/>
          <w:szCs w:val="24"/>
        </w:rPr>
        <w:t xml:space="preserve"> </w:t>
      </w:r>
      <w:r w:rsidR="00022B9C" w:rsidRPr="00297143">
        <w:rPr>
          <w:rFonts w:ascii="Arial" w:eastAsia="Calibri" w:hAnsi="Arial" w:cs="Arial"/>
          <w:sz w:val="24"/>
          <w:szCs w:val="24"/>
        </w:rPr>
        <w:t>trasforma</w:t>
      </w:r>
      <w:r w:rsidR="000F5040" w:rsidRPr="00297143">
        <w:rPr>
          <w:rFonts w:ascii="Arial" w:eastAsia="Calibri" w:hAnsi="Arial" w:cs="Arial"/>
          <w:sz w:val="24"/>
          <w:szCs w:val="24"/>
        </w:rPr>
        <w:t xml:space="preserve"> la</w:t>
      </w:r>
      <w:r w:rsidR="00022B9C" w:rsidRPr="00297143">
        <w:rPr>
          <w:rFonts w:ascii="Arial" w:eastAsia="Calibri" w:hAnsi="Arial" w:cs="Arial"/>
          <w:sz w:val="24"/>
          <w:szCs w:val="24"/>
        </w:rPr>
        <w:t xml:space="preserve"> realidad </w:t>
      </w:r>
      <w:r w:rsidR="000F5040" w:rsidRPr="00297143">
        <w:rPr>
          <w:rFonts w:ascii="Arial" w:eastAsia="Calibri" w:hAnsi="Arial" w:cs="Arial"/>
          <w:sz w:val="24"/>
          <w:szCs w:val="24"/>
        </w:rPr>
        <w:t>poblacional</w:t>
      </w:r>
      <w:r w:rsidR="00294F77">
        <w:rPr>
          <w:rFonts w:ascii="Arial" w:eastAsia="Calibri" w:hAnsi="Arial" w:cs="Arial"/>
          <w:sz w:val="24"/>
          <w:szCs w:val="24"/>
        </w:rPr>
        <w:t>. E</w:t>
      </w:r>
      <w:r w:rsidR="00022B9C" w:rsidRPr="00297143">
        <w:rPr>
          <w:rFonts w:ascii="Arial" w:eastAsia="Calibri" w:hAnsi="Arial" w:cs="Arial"/>
          <w:sz w:val="24"/>
          <w:szCs w:val="24"/>
        </w:rPr>
        <w:t>n ese contexto, l</w:t>
      </w:r>
      <w:r w:rsidR="00B779A7" w:rsidRPr="00297143">
        <w:rPr>
          <w:rFonts w:ascii="Arial" w:eastAsia="Calibri" w:hAnsi="Arial" w:cs="Arial"/>
          <w:sz w:val="24"/>
          <w:szCs w:val="24"/>
        </w:rPr>
        <w:t xml:space="preserve">a Comisión Económica para América Latina y el Caribe (CEPAL) </w:t>
      </w:r>
      <w:r w:rsidR="00294F77">
        <w:rPr>
          <w:rFonts w:ascii="Arial" w:eastAsia="Calibri" w:hAnsi="Arial" w:cs="Arial"/>
          <w:sz w:val="24"/>
          <w:szCs w:val="24"/>
        </w:rPr>
        <w:t xml:space="preserve">ha </w:t>
      </w:r>
      <w:r w:rsidR="00B779A7" w:rsidRPr="00297143">
        <w:rPr>
          <w:rFonts w:ascii="Arial" w:eastAsia="Calibri" w:hAnsi="Arial" w:cs="Arial"/>
          <w:sz w:val="24"/>
          <w:szCs w:val="24"/>
        </w:rPr>
        <w:t>pronostica</w:t>
      </w:r>
      <w:r w:rsidR="00294F77">
        <w:rPr>
          <w:rFonts w:ascii="Arial" w:eastAsia="Calibri" w:hAnsi="Arial" w:cs="Arial"/>
          <w:sz w:val="24"/>
          <w:szCs w:val="24"/>
        </w:rPr>
        <w:t>do</w:t>
      </w:r>
      <w:r w:rsidR="00B779A7" w:rsidRPr="00297143">
        <w:rPr>
          <w:rFonts w:ascii="Arial" w:eastAsia="Calibri" w:hAnsi="Arial" w:cs="Arial"/>
          <w:sz w:val="24"/>
          <w:szCs w:val="24"/>
        </w:rPr>
        <w:t xml:space="preserve"> </w:t>
      </w:r>
      <w:r w:rsidR="00960FCF">
        <w:rPr>
          <w:rFonts w:ascii="Arial" w:eastAsia="Calibri" w:hAnsi="Arial" w:cs="Arial"/>
          <w:sz w:val="24"/>
          <w:szCs w:val="24"/>
        </w:rPr>
        <w:t>que</w:t>
      </w:r>
      <w:r w:rsidR="00294F77">
        <w:rPr>
          <w:rFonts w:ascii="Arial" w:eastAsia="Calibri" w:hAnsi="Arial" w:cs="Arial"/>
          <w:sz w:val="24"/>
          <w:szCs w:val="24"/>
        </w:rPr>
        <w:t>,</w:t>
      </w:r>
      <w:r w:rsidR="00960FCF">
        <w:rPr>
          <w:rFonts w:ascii="Arial" w:eastAsia="Calibri" w:hAnsi="Arial" w:cs="Arial"/>
          <w:sz w:val="24"/>
          <w:szCs w:val="24"/>
        </w:rPr>
        <w:t xml:space="preserve"> </w:t>
      </w:r>
      <w:r w:rsidR="004522A7" w:rsidRPr="00297143">
        <w:rPr>
          <w:rFonts w:ascii="Arial" w:eastAsia="Calibri" w:hAnsi="Arial" w:cs="Arial"/>
          <w:sz w:val="24"/>
          <w:szCs w:val="24"/>
        </w:rPr>
        <w:t>entre 2010 y 2030, la cantidad de personas mayores en esta región se duplicará, de 58,57 millones a 119,67 millones, y en 2050 alcanzará la cifra de 195,87 millones</w:t>
      </w:r>
      <w:r w:rsidR="00294F77">
        <w:rPr>
          <w:rFonts w:ascii="Arial" w:eastAsia="Calibri" w:hAnsi="Arial" w:cs="Arial"/>
          <w:sz w:val="24"/>
          <w:szCs w:val="24"/>
        </w:rPr>
        <w:t>. E</w:t>
      </w:r>
      <w:r w:rsidR="004522A7" w:rsidRPr="00297143">
        <w:rPr>
          <w:rFonts w:ascii="Arial" w:eastAsia="Calibri" w:hAnsi="Arial" w:cs="Arial"/>
          <w:sz w:val="24"/>
          <w:szCs w:val="24"/>
        </w:rPr>
        <w:t>se incremento significa que</w:t>
      </w:r>
      <w:r w:rsidR="00294F77">
        <w:rPr>
          <w:rFonts w:ascii="Arial" w:eastAsia="Calibri" w:hAnsi="Arial" w:cs="Arial"/>
          <w:sz w:val="24"/>
          <w:szCs w:val="24"/>
        </w:rPr>
        <w:t xml:space="preserve"> en tres décadas</w:t>
      </w:r>
      <w:r w:rsidR="004522A7" w:rsidRPr="00297143">
        <w:rPr>
          <w:rFonts w:ascii="Arial" w:eastAsia="Calibri" w:hAnsi="Arial" w:cs="Arial"/>
          <w:sz w:val="24"/>
          <w:szCs w:val="24"/>
        </w:rPr>
        <w:t xml:space="preserve"> el porcentaje de personas mayores en </w:t>
      </w:r>
      <w:r w:rsidR="006525C8" w:rsidRPr="00297143">
        <w:rPr>
          <w:rFonts w:ascii="Arial" w:eastAsia="Calibri" w:hAnsi="Arial" w:cs="Arial"/>
          <w:sz w:val="24"/>
          <w:szCs w:val="24"/>
        </w:rPr>
        <w:t>la r</w:t>
      </w:r>
      <w:r w:rsidR="004522A7" w:rsidRPr="00297143">
        <w:rPr>
          <w:rFonts w:ascii="Arial" w:eastAsia="Calibri" w:hAnsi="Arial" w:cs="Arial"/>
          <w:sz w:val="24"/>
          <w:szCs w:val="24"/>
        </w:rPr>
        <w:t>egión llegará a alrededor del 25%</w:t>
      </w:r>
      <w:r w:rsidR="00294F77">
        <w:rPr>
          <w:rFonts w:ascii="Arial" w:eastAsia="Calibri" w:hAnsi="Arial" w:cs="Arial"/>
          <w:sz w:val="24"/>
          <w:szCs w:val="24"/>
        </w:rPr>
        <w:t xml:space="preserve"> de la población total</w:t>
      </w:r>
      <w:r w:rsidR="004522A7" w:rsidRPr="00297143">
        <w:rPr>
          <w:rFonts w:ascii="Arial" w:eastAsia="Calibri" w:hAnsi="Arial" w:cs="Arial"/>
          <w:sz w:val="24"/>
          <w:szCs w:val="24"/>
        </w:rPr>
        <w:t>.</w:t>
      </w:r>
    </w:p>
    <w:p w14:paraId="69859DC8" w14:textId="4602FD5D" w:rsidR="000F5040" w:rsidRPr="00297143" w:rsidRDefault="000F5040" w:rsidP="00C36793">
      <w:pPr>
        <w:spacing w:after="0" w:line="276" w:lineRule="auto"/>
        <w:jc w:val="both"/>
        <w:rPr>
          <w:rFonts w:ascii="Arial" w:eastAsia="Calibri" w:hAnsi="Arial" w:cs="Arial"/>
          <w:sz w:val="24"/>
          <w:szCs w:val="24"/>
        </w:rPr>
      </w:pPr>
    </w:p>
    <w:p w14:paraId="7BBEAE5A" w14:textId="2F89A420" w:rsidR="000F5040" w:rsidRDefault="005D17E4" w:rsidP="00C36793">
      <w:pPr>
        <w:spacing w:after="0" w:line="276" w:lineRule="auto"/>
        <w:jc w:val="both"/>
        <w:rPr>
          <w:rFonts w:ascii="Arial" w:eastAsia="Calibri" w:hAnsi="Arial" w:cs="Arial"/>
          <w:sz w:val="24"/>
          <w:szCs w:val="24"/>
        </w:rPr>
      </w:pPr>
      <w:r>
        <w:rPr>
          <w:rFonts w:ascii="Arial" w:eastAsia="Calibri" w:hAnsi="Arial" w:cs="Arial"/>
          <w:sz w:val="24"/>
          <w:szCs w:val="24"/>
        </w:rPr>
        <w:t>As</w:t>
      </w:r>
      <w:r w:rsidR="00294F77">
        <w:rPr>
          <w:rFonts w:ascii="Arial" w:eastAsia="Calibri" w:hAnsi="Arial" w:cs="Arial"/>
          <w:sz w:val="24"/>
          <w:szCs w:val="24"/>
        </w:rPr>
        <w:t>i</w:t>
      </w:r>
      <w:r w:rsidR="006525C8" w:rsidRPr="00297143">
        <w:rPr>
          <w:rFonts w:ascii="Arial" w:eastAsia="Calibri" w:hAnsi="Arial" w:cs="Arial"/>
          <w:sz w:val="24"/>
          <w:szCs w:val="24"/>
        </w:rPr>
        <w:t>mismo, l</w:t>
      </w:r>
      <w:r w:rsidR="00B779A7" w:rsidRPr="00297143">
        <w:rPr>
          <w:rFonts w:ascii="Arial" w:eastAsia="Calibri" w:hAnsi="Arial" w:cs="Arial"/>
          <w:sz w:val="24"/>
          <w:szCs w:val="24"/>
        </w:rPr>
        <w:t xml:space="preserve">a Organización de las Naciones Unidas </w:t>
      </w:r>
      <w:r w:rsidR="00465B89" w:rsidRPr="00297143">
        <w:rPr>
          <w:rFonts w:ascii="Arial" w:eastAsia="Calibri" w:hAnsi="Arial" w:cs="Arial"/>
          <w:sz w:val="24"/>
          <w:szCs w:val="24"/>
        </w:rPr>
        <w:t xml:space="preserve">(ONU), </w:t>
      </w:r>
      <w:r w:rsidR="00DF5488" w:rsidRPr="00297143">
        <w:rPr>
          <w:rFonts w:ascii="Arial" w:eastAsia="Calibri" w:hAnsi="Arial" w:cs="Arial"/>
          <w:sz w:val="24"/>
          <w:szCs w:val="24"/>
        </w:rPr>
        <w:t xml:space="preserve">desde 1982, </w:t>
      </w:r>
      <w:r w:rsidR="00960FCF">
        <w:rPr>
          <w:rFonts w:ascii="Arial" w:eastAsia="Calibri" w:hAnsi="Arial" w:cs="Arial"/>
          <w:sz w:val="24"/>
          <w:szCs w:val="24"/>
        </w:rPr>
        <w:t xml:space="preserve">señalaba </w:t>
      </w:r>
      <w:r w:rsidR="00B779A7" w:rsidRPr="00297143">
        <w:rPr>
          <w:rFonts w:ascii="Arial" w:eastAsia="Calibri" w:hAnsi="Arial" w:cs="Arial"/>
          <w:sz w:val="24"/>
          <w:szCs w:val="24"/>
        </w:rPr>
        <w:t xml:space="preserve">que </w:t>
      </w:r>
      <w:r w:rsidR="00DF5488" w:rsidRPr="00297143">
        <w:rPr>
          <w:rFonts w:ascii="Arial" w:eastAsia="Calibri" w:hAnsi="Arial" w:cs="Arial"/>
          <w:sz w:val="24"/>
          <w:szCs w:val="24"/>
        </w:rPr>
        <w:t xml:space="preserve">se </w:t>
      </w:r>
      <w:r w:rsidR="00B779A7" w:rsidRPr="00297143">
        <w:rPr>
          <w:rFonts w:ascii="Arial" w:eastAsia="Calibri" w:hAnsi="Arial" w:cs="Arial"/>
          <w:sz w:val="24"/>
          <w:szCs w:val="24"/>
        </w:rPr>
        <w:t xml:space="preserve">debían </w:t>
      </w:r>
      <w:r w:rsidR="00C20572">
        <w:rPr>
          <w:rFonts w:ascii="Arial" w:eastAsia="Calibri" w:hAnsi="Arial" w:cs="Arial"/>
          <w:sz w:val="24"/>
          <w:szCs w:val="24"/>
        </w:rPr>
        <w:t>iniciar</w:t>
      </w:r>
      <w:r w:rsidR="00B779A7" w:rsidRPr="00297143">
        <w:rPr>
          <w:rFonts w:ascii="Arial" w:eastAsia="Calibri" w:hAnsi="Arial" w:cs="Arial"/>
          <w:sz w:val="24"/>
          <w:szCs w:val="24"/>
        </w:rPr>
        <w:t xml:space="preserve"> </w:t>
      </w:r>
      <w:r w:rsidR="00022B9C" w:rsidRPr="00297143">
        <w:rPr>
          <w:rFonts w:ascii="Arial" w:eastAsia="Calibri" w:hAnsi="Arial" w:cs="Arial"/>
          <w:sz w:val="24"/>
          <w:szCs w:val="24"/>
        </w:rPr>
        <w:t>medidas</w:t>
      </w:r>
      <w:r w:rsidR="00B779A7" w:rsidRPr="00297143">
        <w:rPr>
          <w:rFonts w:ascii="Arial" w:eastAsia="Calibri" w:hAnsi="Arial" w:cs="Arial"/>
          <w:sz w:val="24"/>
          <w:szCs w:val="24"/>
        </w:rPr>
        <w:t xml:space="preserve"> </w:t>
      </w:r>
      <w:r w:rsidR="00960FCF">
        <w:rPr>
          <w:rFonts w:ascii="Arial" w:eastAsia="Calibri" w:hAnsi="Arial" w:cs="Arial"/>
          <w:sz w:val="24"/>
          <w:szCs w:val="24"/>
        </w:rPr>
        <w:t xml:space="preserve">y proyectos </w:t>
      </w:r>
      <w:r w:rsidR="00DF5488" w:rsidRPr="00297143">
        <w:rPr>
          <w:rFonts w:ascii="Arial" w:eastAsia="Calibri" w:hAnsi="Arial" w:cs="Arial"/>
          <w:sz w:val="24"/>
          <w:szCs w:val="24"/>
        </w:rPr>
        <w:t>concret</w:t>
      </w:r>
      <w:r w:rsidR="00960FCF">
        <w:rPr>
          <w:rFonts w:ascii="Arial" w:eastAsia="Calibri" w:hAnsi="Arial" w:cs="Arial"/>
          <w:sz w:val="24"/>
          <w:szCs w:val="24"/>
        </w:rPr>
        <w:t>o</w:t>
      </w:r>
      <w:r w:rsidR="00DF5488" w:rsidRPr="00297143">
        <w:rPr>
          <w:rFonts w:ascii="Arial" w:eastAsia="Calibri" w:hAnsi="Arial" w:cs="Arial"/>
          <w:sz w:val="24"/>
          <w:szCs w:val="24"/>
        </w:rPr>
        <w:t>s</w:t>
      </w:r>
      <w:r w:rsidR="00B779A7" w:rsidRPr="00297143">
        <w:rPr>
          <w:rFonts w:ascii="Arial" w:eastAsia="Calibri" w:hAnsi="Arial" w:cs="Arial"/>
          <w:sz w:val="24"/>
          <w:szCs w:val="24"/>
        </w:rPr>
        <w:t xml:space="preserve"> para atender las necesidades </w:t>
      </w:r>
      <w:r w:rsidR="002E2882" w:rsidRPr="00297143">
        <w:rPr>
          <w:rFonts w:ascii="Arial" w:eastAsia="Calibri" w:hAnsi="Arial" w:cs="Arial"/>
          <w:sz w:val="24"/>
          <w:szCs w:val="24"/>
        </w:rPr>
        <w:t>más elementales</w:t>
      </w:r>
      <w:r w:rsidR="00465B89" w:rsidRPr="00297143">
        <w:rPr>
          <w:rFonts w:ascii="Arial" w:eastAsia="Calibri" w:hAnsi="Arial" w:cs="Arial"/>
          <w:sz w:val="24"/>
          <w:szCs w:val="24"/>
        </w:rPr>
        <w:t xml:space="preserve"> </w:t>
      </w:r>
      <w:r w:rsidR="00B779A7" w:rsidRPr="00297143">
        <w:rPr>
          <w:rFonts w:ascii="Arial" w:eastAsia="Calibri" w:hAnsi="Arial" w:cs="Arial"/>
          <w:sz w:val="24"/>
          <w:szCs w:val="24"/>
        </w:rPr>
        <w:t xml:space="preserve">de </w:t>
      </w:r>
      <w:r w:rsidR="00465B89" w:rsidRPr="00297143">
        <w:rPr>
          <w:rFonts w:ascii="Arial" w:eastAsia="Calibri" w:hAnsi="Arial" w:cs="Arial"/>
          <w:sz w:val="24"/>
          <w:szCs w:val="24"/>
        </w:rPr>
        <w:t xml:space="preserve">los futuros adultos </w:t>
      </w:r>
      <w:r w:rsidR="00B779A7" w:rsidRPr="00297143">
        <w:rPr>
          <w:rFonts w:ascii="Arial" w:eastAsia="Calibri" w:hAnsi="Arial" w:cs="Arial"/>
          <w:sz w:val="24"/>
          <w:szCs w:val="24"/>
        </w:rPr>
        <w:t>mayores</w:t>
      </w:r>
      <w:r w:rsidR="00DF5488" w:rsidRPr="00297143">
        <w:rPr>
          <w:rFonts w:ascii="Arial" w:eastAsia="Calibri" w:hAnsi="Arial" w:cs="Arial"/>
          <w:sz w:val="24"/>
          <w:szCs w:val="24"/>
        </w:rPr>
        <w:t xml:space="preserve">, </w:t>
      </w:r>
      <w:r w:rsidR="00960FCF">
        <w:rPr>
          <w:rFonts w:ascii="Arial" w:eastAsia="Calibri" w:hAnsi="Arial" w:cs="Arial"/>
          <w:sz w:val="24"/>
          <w:szCs w:val="24"/>
        </w:rPr>
        <w:t xml:space="preserve">en materias </w:t>
      </w:r>
      <w:r>
        <w:rPr>
          <w:rFonts w:ascii="Arial" w:eastAsia="Calibri" w:hAnsi="Arial" w:cs="Arial"/>
          <w:sz w:val="24"/>
          <w:szCs w:val="24"/>
        </w:rPr>
        <w:t>como</w:t>
      </w:r>
      <w:r w:rsidR="002E2882" w:rsidRPr="00297143">
        <w:rPr>
          <w:rFonts w:ascii="Arial" w:eastAsia="Calibri" w:hAnsi="Arial" w:cs="Arial"/>
          <w:sz w:val="24"/>
          <w:szCs w:val="24"/>
        </w:rPr>
        <w:t xml:space="preserve">: </w:t>
      </w:r>
      <w:r w:rsidR="00465B89" w:rsidRPr="00297143">
        <w:rPr>
          <w:rFonts w:ascii="Arial" w:eastAsia="Calibri" w:hAnsi="Arial" w:cs="Arial"/>
          <w:sz w:val="24"/>
          <w:szCs w:val="24"/>
        </w:rPr>
        <w:t xml:space="preserve">nutrición, </w:t>
      </w:r>
      <w:r w:rsidR="00DF5488" w:rsidRPr="00297143">
        <w:rPr>
          <w:rFonts w:ascii="Arial" w:eastAsia="Calibri" w:hAnsi="Arial" w:cs="Arial"/>
          <w:sz w:val="24"/>
          <w:szCs w:val="24"/>
        </w:rPr>
        <w:t>s</w:t>
      </w:r>
      <w:r w:rsidR="00B779A7" w:rsidRPr="00297143">
        <w:rPr>
          <w:rFonts w:ascii="Arial" w:eastAsia="Calibri" w:hAnsi="Arial" w:cs="Arial"/>
          <w:sz w:val="24"/>
          <w:szCs w:val="24"/>
        </w:rPr>
        <w:t xml:space="preserve">alud, bienestar social, </w:t>
      </w:r>
      <w:r w:rsidR="00465B89" w:rsidRPr="00297143">
        <w:rPr>
          <w:rFonts w:ascii="Arial" w:eastAsia="Calibri" w:hAnsi="Arial" w:cs="Arial"/>
          <w:sz w:val="24"/>
          <w:szCs w:val="24"/>
        </w:rPr>
        <w:t xml:space="preserve">vivienda, </w:t>
      </w:r>
      <w:r w:rsidR="00B779A7" w:rsidRPr="00297143">
        <w:rPr>
          <w:rFonts w:ascii="Arial" w:eastAsia="Calibri" w:hAnsi="Arial" w:cs="Arial"/>
          <w:sz w:val="24"/>
          <w:szCs w:val="24"/>
        </w:rPr>
        <w:t xml:space="preserve">medio ambiente, educación, </w:t>
      </w:r>
      <w:r w:rsidR="00082902" w:rsidRPr="00297143">
        <w:rPr>
          <w:rFonts w:ascii="Arial" w:eastAsia="Calibri" w:hAnsi="Arial" w:cs="Arial"/>
          <w:sz w:val="24"/>
          <w:szCs w:val="24"/>
        </w:rPr>
        <w:t xml:space="preserve">empleo, </w:t>
      </w:r>
      <w:r w:rsidR="008A6B7A" w:rsidRPr="00297143">
        <w:rPr>
          <w:rFonts w:ascii="Arial" w:eastAsia="Calibri" w:hAnsi="Arial" w:cs="Arial"/>
          <w:sz w:val="24"/>
          <w:szCs w:val="24"/>
        </w:rPr>
        <w:t xml:space="preserve">un </w:t>
      </w:r>
      <w:r w:rsidR="00B779A7" w:rsidRPr="00297143">
        <w:rPr>
          <w:rFonts w:ascii="Arial" w:eastAsia="Calibri" w:hAnsi="Arial" w:cs="Arial"/>
          <w:sz w:val="24"/>
          <w:szCs w:val="24"/>
        </w:rPr>
        <w:t>ingreso</w:t>
      </w:r>
      <w:r w:rsidR="008A6B7A" w:rsidRPr="00297143">
        <w:rPr>
          <w:rFonts w:ascii="Arial" w:eastAsia="Calibri" w:hAnsi="Arial" w:cs="Arial"/>
          <w:sz w:val="24"/>
          <w:szCs w:val="24"/>
        </w:rPr>
        <w:t xml:space="preserve"> seguro</w:t>
      </w:r>
      <w:r w:rsidR="00082902" w:rsidRPr="00297143">
        <w:rPr>
          <w:rFonts w:ascii="Arial" w:eastAsia="Calibri" w:hAnsi="Arial" w:cs="Arial"/>
          <w:sz w:val="24"/>
          <w:szCs w:val="24"/>
        </w:rPr>
        <w:t>, etc</w:t>
      </w:r>
      <w:r w:rsidR="00B779A7" w:rsidRPr="00297143">
        <w:rPr>
          <w:rFonts w:ascii="Arial" w:eastAsia="Calibri" w:hAnsi="Arial" w:cs="Arial"/>
          <w:sz w:val="24"/>
          <w:szCs w:val="24"/>
        </w:rPr>
        <w:t xml:space="preserve">.  </w:t>
      </w:r>
    </w:p>
    <w:p w14:paraId="4A60A1F0" w14:textId="783162B4" w:rsidR="00251253" w:rsidRDefault="00251253" w:rsidP="00C36793">
      <w:pPr>
        <w:spacing w:after="0" w:line="276" w:lineRule="auto"/>
        <w:jc w:val="both"/>
        <w:rPr>
          <w:rFonts w:ascii="Arial" w:eastAsia="Calibri" w:hAnsi="Arial" w:cs="Arial"/>
          <w:sz w:val="24"/>
          <w:szCs w:val="24"/>
        </w:rPr>
      </w:pPr>
    </w:p>
    <w:p w14:paraId="35F5C8CE" w14:textId="74FDE708" w:rsidR="00F21411" w:rsidRPr="00A769BE" w:rsidRDefault="00C20572" w:rsidP="00C20572">
      <w:pPr>
        <w:spacing w:after="0" w:line="276" w:lineRule="auto"/>
        <w:jc w:val="both"/>
        <w:rPr>
          <w:rFonts w:ascii="Arial" w:eastAsia="Times New Roman" w:hAnsi="Arial" w:cs="Arial"/>
          <w:color w:val="000000"/>
          <w:sz w:val="24"/>
          <w:szCs w:val="24"/>
          <w:lang w:val="es-ES" w:eastAsia="es-ES"/>
        </w:rPr>
      </w:pPr>
      <w:r w:rsidRPr="000F66EC">
        <w:rPr>
          <w:rFonts w:ascii="Arial" w:eastAsia="Calibri" w:hAnsi="Arial" w:cs="Arial"/>
          <w:b/>
          <w:bCs/>
          <w:sz w:val="24"/>
          <w:szCs w:val="24"/>
        </w:rPr>
        <w:t>SEGUNDA</w:t>
      </w:r>
      <w:r w:rsidR="00251253" w:rsidRPr="00C36793">
        <w:rPr>
          <w:rFonts w:ascii="Arial" w:eastAsia="Calibri" w:hAnsi="Arial" w:cs="Arial"/>
          <w:b/>
          <w:bCs/>
          <w:sz w:val="24"/>
          <w:szCs w:val="24"/>
        </w:rPr>
        <w:t>.</w:t>
      </w:r>
      <w:r w:rsidR="00251253">
        <w:rPr>
          <w:rFonts w:ascii="Arial" w:eastAsia="Calibri" w:hAnsi="Arial" w:cs="Arial"/>
          <w:sz w:val="24"/>
          <w:szCs w:val="24"/>
        </w:rPr>
        <w:t xml:space="preserve"> </w:t>
      </w:r>
      <w:bookmarkStart w:id="3" w:name="_Hlk54897870"/>
      <w:r w:rsidR="00251253" w:rsidRPr="00C36793">
        <w:rPr>
          <w:rFonts w:ascii="Arial" w:eastAsia="Calibri" w:hAnsi="Arial" w:cs="Arial"/>
          <w:sz w:val="24"/>
          <w:szCs w:val="24"/>
        </w:rPr>
        <w:t>El 11 de octubre de 2018, e</w:t>
      </w:r>
      <w:r w:rsidR="005D17E4" w:rsidRPr="00C36793">
        <w:rPr>
          <w:rFonts w:ascii="Arial" w:eastAsia="Calibri" w:hAnsi="Arial" w:cs="Arial"/>
          <w:sz w:val="24"/>
          <w:szCs w:val="24"/>
        </w:rPr>
        <w:t xml:space="preserve">l </w:t>
      </w:r>
      <w:r w:rsidR="00442369" w:rsidRPr="00C36793">
        <w:rPr>
          <w:rFonts w:ascii="Arial" w:eastAsia="Times New Roman" w:hAnsi="Arial" w:cs="Arial"/>
          <w:color w:val="000000"/>
          <w:sz w:val="24"/>
          <w:szCs w:val="24"/>
          <w:lang w:val="es-ES" w:eastAsia="es-ES"/>
        </w:rPr>
        <w:t>Sen</w:t>
      </w:r>
      <w:r w:rsidR="00C36793">
        <w:rPr>
          <w:rFonts w:ascii="Arial" w:eastAsia="Times New Roman" w:hAnsi="Arial" w:cs="Arial"/>
          <w:color w:val="000000"/>
          <w:sz w:val="24"/>
          <w:szCs w:val="24"/>
          <w:lang w:val="es-ES" w:eastAsia="es-ES"/>
        </w:rPr>
        <w:t xml:space="preserve">ador </w:t>
      </w:r>
      <w:r w:rsidR="00442369" w:rsidRPr="00C36793">
        <w:rPr>
          <w:rFonts w:ascii="Arial" w:eastAsia="Times New Roman" w:hAnsi="Arial" w:cs="Arial"/>
          <w:color w:val="000000"/>
          <w:sz w:val="24"/>
          <w:szCs w:val="24"/>
          <w:lang w:val="es-ES" w:eastAsia="es-ES"/>
        </w:rPr>
        <w:t>Joel Padilla Peña,</w:t>
      </w:r>
      <w:r w:rsidR="00442369" w:rsidRPr="00297143">
        <w:rPr>
          <w:rFonts w:ascii="Arial" w:eastAsia="Times New Roman" w:hAnsi="Arial" w:cs="Arial"/>
          <w:color w:val="000000"/>
          <w:sz w:val="24"/>
          <w:szCs w:val="24"/>
          <w:lang w:val="es-ES" w:eastAsia="es-ES"/>
        </w:rPr>
        <w:t xml:space="preserve"> del Grupo Parlamentario del Partido del Trabajo, </w:t>
      </w:r>
      <w:r w:rsidR="00B53B47" w:rsidRPr="00297143">
        <w:rPr>
          <w:rFonts w:ascii="Arial" w:eastAsia="Times New Roman" w:hAnsi="Arial" w:cs="Arial"/>
          <w:color w:val="000000"/>
          <w:sz w:val="24"/>
          <w:szCs w:val="24"/>
          <w:lang w:val="es-ES" w:eastAsia="es-ES"/>
        </w:rPr>
        <w:t xml:space="preserve">de la LXIV Legislatura del H. Congreso de la Unión, en ejercicio de la facultad que </w:t>
      </w:r>
      <w:r w:rsidR="00960FCF">
        <w:rPr>
          <w:rFonts w:ascii="Arial" w:eastAsia="Times New Roman" w:hAnsi="Arial" w:cs="Arial"/>
          <w:color w:val="000000"/>
          <w:sz w:val="24"/>
          <w:szCs w:val="24"/>
          <w:lang w:val="es-ES" w:eastAsia="es-ES"/>
        </w:rPr>
        <w:t xml:space="preserve">se le </w:t>
      </w:r>
      <w:r w:rsidR="00B53B47" w:rsidRPr="00297143">
        <w:rPr>
          <w:rFonts w:ascii="Arial" w:eastAsia="Times New Roman" w:hAnsi="Arial" w:cs="Arial"/>
          <w:color w:val="000000"/>
          <w:sz w:val="24"/>
          <w:szCs w:val="24"/>
          <w:lang w:val="es-ES" w:eastAsia="es-ES"/>
        </w:rPr>
        <w:t xml:space="preserve">confieren </w:t>
      </w:r>
      <w:r w:rsidR="00960FCF">
        <w:rPr>
          <w:rFonts w:ascii="Arial" w:eastAsia="Times New Roman" w:hAnsi="Arial" w:cs="Arial"/>
          <w:color w:val="000000"/>
          <w:sz w:val="24"/>
          <w:szCs w:val="24"/>
          <w:lang w:val="es-ES" w:eastAsia="es-ES"/>
        </w:rPr>
        <w:t xml:space="preserve">en </w:t>
      </w:r>
      <w:r w:rsidR="00B53B47" w:rsidRPr="00297143">
        <w:rPr>
          <w:rFonts w:ascii="Arial" w:eastAsia="Times New Roman" w:hAnsi="Arial" w:cs="Arial"/>
          <w:color w:val="000000"/>
          <w:sz w:val="24"/>
          <w:szCs w:val="24"/>
          <w:lang w:val="es-ES" w:eastAsia="es-ES"/>
        </w:rPr>
        <w:t>los artículos 8, fracción II</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108</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numeral 1</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109</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numerales 1 y 2, y 110 del Reglamento del Senado de la República, sometió</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con carácter de urgente</w:t>
      </w:r>
      <w:r w:rsidR="00F5701B">
        <w:rPr>
          <w:rFonts w:ascii="Arial" w:eastAsia="Times New Roman" w:hAnsi="Arial" w:cs="Arial"/>
          <w:color w:val="000000"/>
          <w:sz w:val="24"/>
          <w:szCs w:val="24"/>
          <w:lang w:val="es-ES" w:eastAsia="es-ES"/>
        </w:rPr>
        <w:t>,</w:t>
      </w:r>
      <w:r w:rsidR="00B53B47" w:rsidRPr="00297143">
        <w:rPr>
          <w:rFonts w:ascii="Arial" w:eastAsia="Times New Roman" w:hAnsi="Arial" w:cs="Arial"/>
          <w:color w:val="000000"/>
          <w:sz w:val="24"/>
          <w:szCs w:val="24"/>
          <w:lang w:val="es-ES" w:eastAsia="es-ES"/>
        </w:rPr>
        <w:t xml:space="preserve"> </w:t>
      </w:r>
      <w:r w:rsidR="00F5701B">
        <w:rPr>
          <w:rFonts w:ascii="Arial" w:eastAsia="Times New Roman" w:hAnsi="Arial" w:cs="Arial"/>
          <w:color w:val="000000"/>
          <w:sz w:val="24"/>
          <w:szCs w:val="24"/>
          <w:lang w:val="es-ES" w:eastAsia="es-ES"/>
        </w:rPr>
        <w:t xml:space="preserve">respuesta a </w:t>
      </w:r>
      <w:r w:rsidR="00B53B47" w:rsidRPr="00297143">
        <w:rPr>
          <w:rFonts w:ascii="Arial" w:eastAsia="Times New Roman" w:hAnsi="Arial" w:cs="Arial"/>
          <w:color w:val="000000"/>
          <w:sz w:val="24"/>
          <w:szCs w:val="24"/>
          <w:lang w:val="es-ES" w:eastAsia="es-ES"/>
        </w:rPr>
        <w:t xml:space="preserve"> la Proposición con </w:t>
      </w:r>
      <w:r w:rsidR="00B53B47" w:rsidRPr="0040154C">
        <w:rPr>
          <w:rFonts w:ascii="Arial" w:eastAsia="Times New Roman" w:hAnsi="Arial" w:cs="Arial"/>
          <w:color w:val="000000"/>
          <w:sz w:val="24"/>
          <w:szCs w:val="24"/>
          <w:lang w:val="es-ES" w:eastAsia="es-ES"/>
        </w:rPr>
        <w:t xml:space="preserve">Punto de Acuerdo </w:t>
      </w:r>
      <w:r w:rsidR="00442369" w:rsidRPr="0040154C">
        <w:rPr>
          <w:rFonts w:ascii="Arial" w:eastAsia="Times New Roman" w:hAnsi="Arial" w:cs="Arial"/>
          <w:color w:val="000000"/>
          <w:sz w:val="24"/>
          <w:szCs w:val="24"/>
          <w:lang w:val="es-ES" w:eastAsia="es-ES"/>
        </w:rPr>
        <w:t>que exhorta al titular del Poder Ejecutivo Federal a concretar el</w:t>
      </w:r>
      <w:r w:rsidR="00442369" w:rsidRPr="00297143">
        <w:rPr>
          <w:rFonts w:ascii="Arial" w:eastAsia="Times New Roman" w:hAnsi="Arial" w:cs="Arial"/>
          <w:color w:val="000000"/>
          <w:sz w:val="24"/>
          <w:szCs w:val="24"/>
          <w:lang w:val="es-ES" w:eastAsia="es-ES"/>
        </w:rPr>
        <w:t xml:space="preserve"> proceso de </w:t>
      </w:r>
      <w:r w:rsidR="00251253">
        <w:rPr>
          <w:rFonts w:ascii="Arial" w:eastAsia="Times New Roman" w:hAnsi="Arial" w:cs="Arial"/>
          <w:color w:val="000000"/>
          <w:sz w:val="24"/>
          <w:szCs w:val="24"/>
          <w:lang w:val="es-ES" w:eastAsia="es-ES"/>
        </w:rPr>
        <w:t>“</w:t>
      </w:r>
      <w:r w:rsidR="00442369" w:rsidRPr="00297143">
        <w:rPr>
          <w:rFonts w:ascii="Arial" w:eastAsia="Times New Roman" w:hAnsi="Arial" w:cs="Arial"/>
          <w:b/>
          <w:bCs/>
          <w:color w:val="000000"/>
          <w:sz w:val="24"/>
          <w:szCs w:val="24"/>
          <w:lang w:val="es-ES" w:eastAsia="es-ES"/>
        </w:rPr>
        <w:t>firma y ratificación</w:t>
      </w:r>
      <w:r w:rsidR="00251253">
        <w:rPr>
          <w:rFonts w:ascii="Arial" w:eastAsia="Times New Roman" w:hAnsi="Arial" w:cs="Arial"/>
          <w:b/>
          <w:bCs/>
          <w:color w:val="000000"/>
          <w:sz w:val="24"/>
          <w:szCs w:val="24"/>
          <w:lang w:val="es-ES" w:eastAsia="es-ES"/>
        </w:rPr>
        <w:t>”</w:t>
      </w:r>
      <w:r w:rsidR="00442369" w:rsidRPr="00297143">
        <w:rPr>
          <w:rFonts w:ascii="Arial" w:eastAsia="Times New Roman" w:hAnsi="Arial" w:cs="Arial"/>
          <w:b/>
          <w:bCs/>
          <w:color w:val="000000"/>
          <w:sz w:val="24"/>
          <w:szCs w:val="24"/>
          <w:lang w:val="es-ES" w:eastAsia="es-ES"/>
        </w:rPr>
        <w:t xml:space="preserve"> </w:t>
      </w:r>
      <w:r w:rsidR="00442369" w:rsidRPr="00C36793">
        <w:rPr>
          <w:rFonts w:ascii="Arial" w:eastAsia="Times New Roman" w:hAnsi="Arial" w:cs="Arial"/>
          <w:color w:val="000000"/>
          <w:sz w:val="24"/>
          <w:szCs w:val="24"/>
          <w:lang w:val="es-ES" w:eastAsia="es-ES"/>
        </w:rPr>
        <w:t xml:space="preserve">de la Convención Interamericana sobre la Protección de </w:t>
      </w:r>
      <w:r w:rsidR="00442369" w:rsidRPr="00C36793">
        <w:rPr>
          <w:rFonts w:ascii="Arial" w:eastAsia="Times New Roman" w:hAnsi="Arial" w:cs="Arial"/>
          <w:color w:val="000000"/>
          <w:sz w:val="24"/>
          <w:szCs w:val="24"/>
          <w:lang w:val="es-ES" w:eastAsia="es-ES"/>
        </w:rPr>
        <w:lastRenderedPageBreak/>
        <w:t>los Derechos Humanos de las Personas Mayores, adoptada el 15 de junio de 2015, por la Asamblea General de la Organización de los Estados Americanos</w:t>
      </w:r>
      <w:r w:rsidR="00B53B47" w:rsidRPr="00C36793">
        <w:rPr>
          <w:rFonts w:ascii="Arial" w:eastAsia="Times New Roman" w:hAnsi="Arial" w:cs="Arial"/>
          <w:color w:val="000000"/>
          <w:sz w:val="24"/>
          <w:szCs w:val="24"/>
          <w:lang w:val="es-ES" w:eastAsia="es-ES"/>
        </w:rPr>
        <w:t xml:space="preserve"> (OEA)</w:t>
      </w:r>
      <w:r w:rsidR="00442369" w:rsidRPr="00C36793">
        <w:rPr>
          <w:rFonts w:ascii="Arial" w:eastAsia="Times New Roman" w:hAnsi="Arial" w:cs="Arial"/>
          <w:color w:val="000000"/>
          <w:sz w:val="24"/>
          <w:szCs w:val="24"/>
          <w:lang w:val="es-ES" w:eastAsia="es-ES"/>
        </w:rPr>
        <w:t>.</w:t>
      </w:r>
      <w:r w:rsidR="00156717" w:rsidRPr="00C36793">
        <w:rPr>
          <w:rFonts w:ascii="Arial" w:hAnsi="Arial" w:cs="Arial"/>
          <w:sz w:val="24"/>
          <w:szCs w:val="24"/>
        </w:rPr>
        <w:t xml:space="preserve"> </w:t>
      </w:r>
      <w:bookmarkEnd w:id="3"/>
      <w:r w:rsidR="002D04F8">
        <w:rPr>
          <w:rFonts w:ascii="Arial" w:hAnsi="Arial" w:cs="Arial"/>
          <w:sz w:val="24"/>
          <w:szCs w:val="24"/>
        </w:rPr>
        <w:t xml:space="preserve">Dicha propuesta </w:t>
      </w:r>
      <w:r w:rsidR="00AA0CCB" w:rsidRPr="00A769BE">
        <w:rPr>
          <w:rFonts w:ascii="Arial" w:eastAsia="Times New Roman" w:hAnsi="Arial" w:cs="Arial"/>
          <w:color w:val="000000"/>
          <w:sz w:val="24"/>
          <w:szCs w:val="24"/>
          <w:lang w:val="es-ES" w:eastAsia="es-ES"/>
        </w:rPr>
        <w:t>“</w:t>
      </w:r>
      <w:r w:rsidR="002D04F8">
        <w:rPr>
          <w:rFonts w:ascii="Arial" w:eastAsia="Times New Roman" w:hAnsi="Arial" w:cs="Arial"/>
          <w:color w:val="000000"/>
          <w:sz w:val="24"/>
          <w:szCs w:val="24"/>
          <w:lang w:val="es-ES" w:eastAsia="es-ES"/>
        </w:rPr>
        <w:t>s</w:t>
      </w:r>
      <w:r w:rsidR="00156717" w:rsidRPr="00A769BE">
        <w:rPr>
          <w:rFonts w:ascii="Arial" w:eastAsia="Times New Roman" w:hAnsi="Arial" w:cs="Arial"/>
          <w:color w:val="000000"/>
          <w:sz w:val="24"/>
          <w:szCs w:val="24"/>
          <w:lang w:val="es-ES" w:eastAsia="es-ES"/>
        </w:rPr>
        <w:t>e turnó a la Comisión de Derechos Humanos</w:t>
      </w:r>
      <w:r w:rsidR="002B5536">
        <w:rPr>
          <w:rFonts w:ascii="Arial" w:eastAsia="Times New Roman" w:hAnsi="Arial" w:cs="Arial"/>
          <w:color w:val="000000"/>
          <w:sz w:val="24"/>
          <w:szCs w:val="24"/>
          <w:lang w:val="es-ES" w:eastAsia="es-ES"/>
        </w:rPr>
        <w:t>, del Senado de la República</w:t>
      </w:r>
      <w:r w:rsidR="00AA0CCB" w:rsidRPr="00A769BE">
        <w:rPr>
          <w:rFonts w:ascii="Arial" w:eastAsia="Times New Roman" w:hAnsi="Arial" w:cs="Arial"/>
          <w:color w:val="000000"/>
          <w:sz w:val="24"/>
          <w:szCs w:val="24"/>
          <w:lang w:val="es-ES" w:eastAsia="es-ES"/>
        </w:rPr>
        <w:t>”</w:t>
      </w:r>
      <w:r w:rsidR="00F21411" w:rsidRPr="00A769BE">
        <w:rPr>
          <w:rStyle w:val="Refdenotaalpie"/>
          <w:rFonts w:ascii="Arial" w:eastAsia="Times New Roman" w:hAnsi="Arial" w:cs="Arial"/>
          <w:color w:val="000000"/>
          <w:sz w:val="24"/>
          <w:szCs w:val="24"/>
          <w:lang w:val="es-ES" w:eastAsia="es-ES"/>
        </w:rPr>
        <w:footnoteReference w:id="1"/>
      </w:r>
      <w:r w:rsidR="00F21411" w:rsidRPr="00A769BE">
        <w:rPr>
          <w:rFonts w:ascii="Arial" w:eastAsia="Times New Roman" w:hAnsi="Arial" w:cs="Arial"/>
          <w:color w:val="000000"/>
          <w:sz w:val="24"/>
          <w:szCs w:val="24"/>
          <w:lang w:val="es-ES" w:eastAsia="es-ES"/>
        </w:rPr>
        <w:t>.</w:t>
      </w:r>
    </w:p>
    <w:p w14:paraId="1C68F08C" w14:textId="77777777" w:rsidR="007E1A6B" w:rsidRDefault="007E1A6B" w:rsidP="00C36793">
      <w:pPr>
        <w:pStyle w:val="Prrafodelista"/>
        <w:tabs>
          <w:tab w:val="left" w:pos="142"/>
        </w:tabs>
        <w:spacing w:after="0" w:line="276" w:lineRule="auto"/>
        <w:ind w:left="0"/>
        <w:jc w:val="both"/>
        <w:rPr>
          <w:rFonts w:ascii="Arial" w:eastAsia="Calibri" w:hAnsi="Arial" w:cs="Arial"/>
          <w:sz w:val="24"/>
          <w:szCs w:val="24"/>
        </w:rPr>
      </w:pPr>
    </w:p>
    <w:p w14:paraId="3EAD1415" w14:textId="40A49EAF" w:rsidR="00D90117" w:rsidRPr="00321C5B" w:rsidRDefault="00C20572" w:rsidP="00C36793">
      <w:pPr>
        <w:pStyle w:val="Prrafodelista"/>
        <w:tabs>
          <w:tab w:val="left" w:pos="142"/>
        </w:tabs>
        <w:spacing w:after="0" w:line="276" w:lineRule="auto"/>
        <w:ind w:left="0"/>
        <w:jc w:val="both"/>
        <w:rPr>
          <w:rFonts w:ascii="Arial" w:eastAsia="Calibri" w:hAnsi="Arial" w:cs="Arial"/>
          <w:sz w:val="24"/>
          <w:szCs w:val="24"/>
        </w:rPr>
      </w:pPr>
      <w:r>
        <w:rPr>
          <w:rFonts w:ascii="Arial" w:eastAsia="Calibri" w:hAnsi="Arial" w:cs="Arial"/>
          <w:sz w:val="24"/>
          <w:szCs w:val="24"/>
        </w:rPr>
        <w:t>En el mismo sentido, e</w:t>
      </w:r>
      <w:r w:rsidR="0040154C">
        <w:rPr>
          <w:rFonts w:ascii="Arial" w:eastAsia="Calibri" w:hAnsi="Arial" w:cs="Arial"/>
          <w:sz w:val="24"/>
          <w:szCs w:val="24"/>
        </w:rPr>
        <w:t xml:space="preserve">l </w:t>
      </w:r>
      <w:r w:rsidR="00321C5B" w:rsidRPr="00321C5B">
        <w:rPr>
          <w:rFonts w:ascii="Arial" w:eastAsia="Calibri" w:hAnsi="Arial" w:cs="Arial"/>
          <w:sz w:val="24"/>
          <w:szCs w:val="24"/>
        </w:rPr>
        <w:t>11 de abril de 2019</w:t>
      </w:r>
      <w:r w:rsidR="002D04F8">
        <w:rPr>
          <w:rFonts w:ascii="Arial" w:eastAsia="Calibri" w:hAnsi="Arial" w:cs="Arial"/>
          <w:sz w:val="24"/>
          <w:szCs w:val="24"/>
        </w:rPr>
        <w:t>,</w:t>
      </w:r>
      <w:r w:rsidR="00321C5B" w:rsidRPr="00321C5B">
        <w:rPr>
          <w:rFonts w:ascii="Arial" w:eastAsia="Calibri" w:hAnsi="Arial" w:cs="Arial"/>
          <w:sz w:val="24"/>
          <w:szCs w:val="24"/>
        </w:rPr>
        <w:t xml:space="preserve"> la Comisión de </w:t>
      </w:r>
      <w:r w:rsidR="00F21411" w:rsidRPr="00321C5B">
        <w:rPr>
          <w:rFonts w:ascii="Arial" w:eastAsia="Calibri" w:hAnsi="Arial" w:cs="Arial"/>
          <w:sz w:val="24"/>
          <w:szCs w:val="24"/>
        </w:rPr>
        <w:t>Derechos Humanos</w:t>
      </w:r>
      <w:r w:rsidR="00321C5B" w:rsidRPr="00321C5B">
        <w:rPr>
          <w:rFonts w:ascii="Arial" w:eastAsia="Calibri" w:hAnsi="Arial" w:cs="Arial"/>
          <w:sz w:val="24"/>
          <w:szCs w:val="24"/>
        </w:rPr>
        <w:t xml:space="preserve"> del </w:t>
      </w:r>
      <w:r w:rsidR="00321C5B" w:rsidRPr="00C20572">
        <w:rPr>
          <w:rFonts w:ascii="Arial" w:eastAsia="Calibri" w:hAnsi="Arial" w:cs="Arial"/>
          <w:b/>
          <w:sz w:val="24"/>
          <w:szCs w:val="24"/>
        </w:rPr>
        <w:t>Senado</w:t>
      </w:r>
      <w:r w:rsidR="00321C5B" w:rsidRPr="00321C5B">
        <w:rPr>
          <w:rFonts w:ascii="Arial" w:eastAsia="Calibri" w:hAnsi="Arial" w:cs="Arial"/>
          <w:sz w:val="24"/>
          <w:szCs w:val="24"/>
        </w:rPr>
        <w:t xml:space="preserve"> de la República</w:t>
      </w:r>
      <w:r w:rsidR="0040154C">
        <w:rPr>
          <w:rFonts w:ascii="Arial" w:eastAsia="Calibri" w:hAnsi="Arial" w:cs="Arial"/>
          <w:sz w:val="24"/>
          <w:szCs w:val="24"/>
        </w:rPr>
        <w:t>,</w:t>
      </w:r>
      <w:r w:rsidR="00321C5B" w:rsidRPr="00321C5B">
        <w:rPr>
          <w:rFonts w:ascii="Arial" w:eastAsia="Calibri" w:hAnsi="Arial" w:cs="Arial"/>
          <w:sz w:val="24"/>
          <w:szCs w:val="24"/>
        </w:rPr>
        <w:t xml:space="preserve"> </w:t>
      </w:r>
      <w:r>
        <w:rPr>
          <w:rFonts w:ascii="Arial" w:eastAsia="Calibri" w:hAnsi="Arial" w:cs="Arial"/>
          <w:b/>
          <w:bCs/>
          <w:sz w:val="24"/>
          <w:szCs w:val="24"/>
        </w:rPr>
        <w:t>dictaminó</w:t>
      </w:r>
      <w:r w:rsidR="00321C5B" w:rsidRPr="007E1A6B">
        <w:rPr>
          <w:rFonts w:ascii="Arial" w:eastAsia="Calibri" w:hAnsi="Arial" w:cs="Arial"/>
          <w:b/>
          <w:bCs/>
          <w:sz w:val="24"/>
          <w:szCs w:val="24"/>
        </w:rPr>
        <w:t xml:space="preserve"> </w:t>
      </w:r>
      <w:r w:rsidR="0040154C" w:rsidRPr="007E1A6B">
        <w:rPr>
          <w:rFonts w:ascii="Arial" w:eastAsia="Calibri" w:hAnsi="Arial" w:cs="Arial"/>
          <w:b/>
          <w:bCs/>
          <w:sz w:val="24"/>
          <w:szCs w:val="24"/>
        </w:rPr>
        <w:t xml:space="preserve">en </w:t>
      </w:r>
      <w:r>
        <w:rPr>
          <w:rFonts w:ascii="Arial" w:eastAsia="Calibri" w:hAnsi="Arial" w:cs="Arial"/>
          <w:b/>
          <w:bCs/>
          <w:sz w:val="24"/>
          <w:szCs w:val="24"/>
        </w:rPr>
        <w:t xml:space="preserve">sentido </w:t>
      </w:r>
      <w:r w:rsidR="0040154C" w:rsidRPr="007E1A6B">
        <w:rPr>
          <w:rFonts w:ascii="Arial" w:eastAsia="Calibri" w:hAnsi="Arial" w:cs="Arial"/>
          <w:b/>
          <w:bCs/>
          <w:sz w:val="24"/>
          <w:szCs w:val="24"/>
        </w:rPr>
        <w:t xml:space="preserve">positivo </w:t>
      </w:r>
      <w:r w:rsidR="00F21411" w:rsidRPr="007E1A6B">
        <w:rPr>
          <w:rFonts w:ascii="Arial" w:eastAsia="Calibri" w:hAnsi="Arial" w:cs="Arial"/>
          <w:b/>
          <w:bCs/>
          <w:sz w:val="24"/>
          <w:szCs w:val="24"/>
        </w:rPr>
        <w:t>la proposición con punto de acuerdo</w:t>
      </w:r>
      <w:r w:rsidR="00F21411" w:rsidRPr="00321C5B">
        <w:rPr>
          <w:rFonts w:ascii="Arial" w:eastAsia="Calibri" w:hAnsi="Arial" w:cs="Arial"/>
          <w:sz w:val="24"/>
          <w:szCs w:val="24"/>
        </w:rPr>
        <w:t xml:space="preserve"> por el que se exhorta al titular del poder </w:t>
      </w:r>
      <w:r w:rsidR="002D04F8">
        <w:rPr>
          <w:rFonts w:ascii="Arial" w:eastAsia="Calibri" w:hAnsi="Arial" w:cs="Arial"/>
          <w:sz w:val="24"/>
          <w:szCs w:val="24"/>
        </w:rPr>
        <w:t>E</w:t>
      </w:r>
      <w:r w:rsidR="00F21411" w:rsidRPr="00321C5B">
        <w:rPr>
          <w:rFonts w:ascii="Arial" w:eastAsia="Calibri" w:hAnsi="Arial" w:cs="Arial"/>
          <w:sz w:val="24"/>
          <w:szCs w:val="24"/>
        </w:rPr>
        <w:t xml:space="preserve">jecutivo federal a concretar el proceso de firma y ratificación de la Convención Interamericana sobre la Protección de los Derechos Humanos de las Personas </w:t>
      </w:r>
      <w:r w:rsidR="00A769BE" w:rsidRPr="00321C5B">
        <w:rPr>
          <w:rFonts w:ascii="Arial" w:eastAsia="Calibri" w:hAnsi="Arial" w:cs="Arial"/>
          <w:sz w:val="24"/>
          <w:szCs w:val="24"/>
        </w:rPr>
        <w:t>Mayores</w:t>
      </w:r>
      <w:r w:rsidR="00F21411" w:rsidRPr="00321C5B">
        <w:rPr>
          <w:rFonts w:ascii="Arial" w:eastAsia="Calibri" w:hAnsi="Arial" w:cs="Arial"/>
          <w:sz w:val="24"/>
          <w:szCs w:val="24"/>
        </w:rPr>
        <w:t xml:space="preserve">, </w:t>
      </w:r>
      <w:r w:rsidR="00A769BE" w:rsidRPr="00321C5B">
        <w:rPr>
          <w:rFonts w:ascii="Arial" w:eastAsia="Calibri" w:hAnsi="Arial" w:cs="Arial"/>
          <w:sz w:val="24"/>
          <w:szCs w:val="24"/>
        </w:rPr>
        <w:t>adoptada por la Asamblea General de la O</w:t>
      </w:r>
      <w:r w:rsidR="00F21411" w:rsidRPr="00321C5B">
        <w:rPr>
          <w:rFonts w:ascii="Arial" w:eastAsia="Calibri" w:hAnsi="Arial" w:cs="Arial"/>
          <w:sz w:val="24"/>
          <w:szCs w:val="24"/>
        </w:rPr>
        <w:t xml:space="preserve">rganización </w:t>
      </w:r>
      <w:r w:rsidR="00A769BE" w:rsidRPr="00321C5B">
        <w:rPr>
          <w:rFonts w:ascii="Arial" w:eastAsia="Calibri" w:hAnsi="Arial" w:cs="Arial"/>
          <w:sz w:val="24"/>
          <w:szCs w:val="24"/>
        </w:rPr>
        <w:t>de los Estados americanos</w:t>
      </w:r>
      <w:r w:rsidR="002D04F8">
        <w:rPr>
          <w:rFonts w:ascii="Arial" w:eastAsia="Calibri" w:hAnsi="Arial" w:cs="Arial"/>
          <w:sz w:val="24"/>
          <w:szCs w:val="24"/>
        </w:rPr>
        <w:t xml:space="preserve"> en 2015</w:t>
      </w:r>
      <w:r w:rsidR="00A769BE" w:rsidRPr="00321C5B">
        <w:rPr>
          <w:rStyle w:val="Refdenotaalpie"/>
          <w:rFonts w:ascii="Arial" w:eastAsia="Calibri" w:hAnsi="Arial" w:cs="Arial"/>
          <w:sz w:val="24"/>
          <w:szCs w:val="24"/>
        </w:rPr>
        <w:footnoteReference w:id="2"/>
      </w:r>
      <w:r w:rsidR="00A769BE" w:rsidRPr="00321C5B">
        <w:rPr>
          <w:rFonts w:ascii="Arial" w:eastAsia="Calibri" w:hAnsi="Arial" w:cs="Arial"/>
          <w:sz w:val="24"/>
          <w:szCs w:val="24"/>
        </w:rPr>
        <w:t xml:space="preserve">. </w:t>
      </w:r>
    </w:p>
    <w:p w14:paraId="6C48FD5D" w14:textId="77777777" w:rsidR="00A4619C" w:rsidRDefault="00A4619C" w:rsidP="00AC5506">
      <w:pPr>
        <w:tabs>
          <w:tab w:val="left" w:pos="142"/>
          <w:tab w:val="left" w:pos="851"/>
        </w:tabs>
        <w:spacing w:after="0" w:line="276" w:lineRule="auto"/>
        <w:jc w:val="both"/>
        <w:rPr>
          <w:rFonts w:ascii="Arial" w:eastAsia="Times New Roman" w:hAnsi="Arial" w:cs="Arial"/>
          <w:color w:val="000000"/>
          <w:sz w:val="24"/>
          <w:szCs w:val="24"/>
          <w:lang w:val="es-ES" w:eastAsia="es-ES"/>
        </w:rPr>
      </w:pPr>
    </w:p>
    <w:p w14:paraId="31EEE3A3" w14:textId="73B3153E" w:rsidR="00A64B90" w:rsidRPr="00297143" w:rsidRDefault="00C20572" w:rsidP="00AC5506">
      <w:pPr>
        <w:tabs>
          <w:tab w:val="left" w:pos="142"/>
          <w:tab w:val="left" w:pos="851"/>
        </w:tabs>
        <w:spacing w:after="0" w:line="276" w:lineRule="auto"/>
        <w:jc w:val="both"/>
        <w:rPr>
          <w:rFonts w:ascii="Arial" w:eastAsia="Times New Roman" w:hAnsi="Arial" w:cs="Arial"/>
          <w:color w:val="000000"/>
          <w:sz w:val="24"/>
          <w:szCs w:val="24"/>
          <w:lang w:val="es-ES" w:eastAsia="es-ES"/>
        </w:rPr>
      </w:pPr>
      <w:r>
        <w:rPr>
          <w:rFonts w:ascii="Arial" w:eastAsia="Calibri" w:hAnsi="Arial" w:cs="Arial"/>
          <w:b/>
          <w:bCs/>
          <w:sz w:val="24"/>
          <w:szCs w:val="24"/>
        </w:rPr>
        <w:t>TERCERA.</w:t>
      </w:r>
      <w:r w:rsidRPr="00FF683A">
        <w:rPr>
          <w:rFonts w:ascii="Arial" w:eastAsia="Times New Roman" w:hAnsi="Arial" w:cs="Arial"/>
          <w:color w:val="000000"/>
          <w:sz w:val="24"/>
          <w:szCs w:val="24"/>
          <w:lang w:val="es-ES" w:eastAsia="es-ES"/>
        </w:rPr>
        <w:t xml:space="preserve"> </w:t>
      </w:r>
      <w:r w:rsidR="00A64B90" w:rsidRPr="00FF683A">
        <w:rPr>
          <w:rFonts w:ascii="Arial" w:eastAsia="Times New Roman" w:hAnsi="Arial" w:cs="Arial"/>
          <w:color w:val="000000"/>
          <w:sz w:val="24"/>
          <w:szCs w:val="24"/>
          <w:lang w:val="es-ES" w:eastAsia="es-ES"/>
        </w:rPr>
        <w:t>Desde 1982, la</w:t>
      </w:r>
      <w:r w:rsidR="00722EA6">
        <w:rPr>
          <w:rFonts w:ascii="Arial" w:eastAsia="Times New Roman" w:hAnsi="Arial" w:cs="Arial"/>
          <w:color w:val="000000"/>
          <w:sz w:val="24"/>
          <w:szCs w:val="24"/>
          <w:lang w:val="es-ES" w:eastAsia="es-ES"/>
        </w:rPr>
        <w:t xml:space="preserve"> Organización de las</w:t>
      </w:r>
      <w:r w:rsidR="00A64B90" w:rsidRPr="00FF683A">
        <w:rPr>
          <w:rFonts w:ascii="Arial" w:eastAsia="Times New Roman" w:hAnsi="Arial" w:cs="Arial"/>
          <w:color w:val="000000"/>
          <w:sz w:val="24"/>
          <w:szCs w:val="24"/>
          <w:lang w:val="es-ES" w:eastAsia="es-ES"/>
        </w:rPr>
        <w:t xml:space="preserve"> Naciones Unidas</w:t>
      </w:r>
      <w:r w:rsidR="008A6B7A" w:rsidRPr="00FF683A">
        <w:rPr>
          <w:rFonts w:ascii="Arial" w:eastAsia="Times New Roman" w:hAnsi="Arial" w:cs="Arial"/>
          <w:color w:val="000000"/>
          <w:sz w:val="24"/>
          <w:szCs w:val="24"/>
          <w:lang w:val="es-ES" w:eastAsia="es-ES"/>
        </w:rPr>
        <w:t xml:space="preserve"> ya </w:t>
      </w:r>
      <w:r w:rsidR="00A64B90" w:rsidRPr="00FF683A">
        <w:rPr>
          <w:rFonts w:ascii="Arial" w:eastAsia="Times New Roman" w:hAnsi="Arial" w:cs="Arial"/>
          <w:color w:val="000000"/>
          <w:sz w:val="24"/>
          <w:szCs w:val="24"/>
          <w:lang w:val="es-ES" w:eastAsia="es-ES"/>
        </w:rPr>
        <w:t>insistía en que l</w:t>
      </w:r>
      <w:r w:rsidR="00960FCF">
        <w:rPr>
          <w:rFonts w:ascii="Arial" w:eastAsia="Times New Roman" w:hAnsi="Arial" w:cs="Arial"/>
          <w:color w:val="000000"/>
          <w:sz w:val="24"/>
          <w:szCs w:val="24"/>
          <w:lang w:val="es-ES" w:eastAsia="es-ES"/>
        </w:rPr>
        <w:t>o</w:t>
      </w:r>
      <w:r w:rsidR="008A6B7A" w:rsidRPr="00FF683A">
        <w:rPr>
          <w:rFonts w:ascii="Arial" w:eastAsia="Times New Roman" w:hAnsi="Arial" w:cs="Arial"/>
          <w:color w:val="000000"/>
          <w:sz w:val="24"/>
          <w:szCs w:val="24"/>
          <w:lang w:val="es-ES" w:eastAsia="es-ES"/>
        </w:rPr>
        <w:t xml:space="preserve">s </w:t>
      </w:r>
      <w:r w:rsidR="00960FCF" w:rsidRPr="00FF683A">
        <w:rPr>
          <w:rFonts w:ascii="Arial" w:eastAsia="Times New Roman" w:hAnsi="Arial" w:cs="Arial"/>
          <w:color w:val="000000"/>
          <w:sz w:val="24"/>
          <w:szCs w:val="24"/>
          <w:lang w:val="es-ES" w:eastAsia="es-ES"/>
        </w:rPr>
        <w:t>países</w:t>
      </w:r>
      <w:r w:rsidR="002E2882" w:rsidRPr="00FF683A">
        <w:rPr>
          <w:rFonts w:ascii="Arial" w:eastAsia="Times New Roman" w:hAnsi="Arial" w:cs="Arial"/>
          <w:color w:val="000000"/>
          <w:sz w:val="24"/>
          <w:szCs w:val="24"/>
          <w:lang w:val="es-ES" w:eastAsia="es-ES"/>
        </w:rPr>
        <w:t xml:space="preserve"> del mundo</w:t>
      </w:r>
      <w:r w:rsidR="008A6B7A" w:rsidRPr="00FF683A">
        <w:rPr>
          <w:rFonts w:ascii="Arial" w:eastAsia="Times New Roman" w:hAnsi="Arial" w:cs="Arial"/>
          <w:color w:val="000000"/>
          <w:sz w:val="24"/>
          <w:szCs w:val="24"/>
          <w:lang w:val="es-ES" w:eastAsia="es-ES"/>
        </w:rPr>
        <w:t xml:space="preserve"> </w:t>
      </w:r>
      <w:r w:rsidR="00A64B90" w:rsidRPr="00FF683A">
        <w:rPr>
          <w:rFonts w:ascii="Arial" w:eastAsia="Times New Roman" w:hAnsi="Arial" w:cs="Arial"/>
          <w:color w:val="000000"/>
          <w:sz w:val="24"/>
          <w:szCs w:val="24"/>
          <w:lang w:val="es-ES" w:eastAsia="es-ES"/>
        </w:rPr>
        <w:t xml:space="preserve">debían </w:t>
      </w:r>
      <w:r w:rsidR="008A6B7A" w:rsidRPr="00FF683A">
        <w:rPr>
          <w:rFonts w:ascii="Arial" w:eastAsia="Times New Roman" w:hAnsi="Arial" w:cs="Arial"/>
          <w:color w:val="000000"/>
          <w:sz w:val="24"/>
          <w:szCs w:val="24"/>
          <w:lang w:val="es-ES" w:eastAsia="es-ES"/>
        </w:rPr>
        <w:t xml:space="preserve">tomar decisiones particulares </w:t>
      </w:r>
      <w:r w:rsidR="00A64B90" w:rsidRPr="00FF683A">
        <w:rPr>
          <w:rFonts w:ascii="Arial" w:eastAsia="Times New Roman" w:hAnsi="Arial" w:cs="Arial"/>
          <w:color w:val="000000"/>
          <w:sz w:val="24"/>
          <w:szCs w:val="24"/>
          <w:lang w:val="es-ES" w:eastAsia="es-ES"/>
        </w:rPr>
        <w:t xml:space="preserve">para atender las necesidades </w:t>
      </w:r>
      <w:r w:rsidR="008A6B7A" w:rsidRPr="00FF683A">
        <w:rPr>
          <w:rFonts w:ascii="Arial" w:eastAsia="Times New Roman" w:hAnsi="Arial" w:cs="Arial"/>
          <w:color w:val="000000"/>
          <w:sz w:val="24"/>
          <w:szCs w:val="24"/>
          <w:lang w:val="es-ES" w:eastAsia="es-ES"/>
        </w:rPr>
        <w:t xml:space="preserve">básicas </w:t>
      </w:r>
      <w:r w:rsidR="00A64B90" w:rsidRPr="00FF683A">
        <w:rPr>
          <w:rFonts w:ascii="Arial" w:eastAsia="Times New Roman" w:hAnsi="Arial" w:cs="Arial"/>
          <w:color w:val="000000"/>
          <w:sz w:val="24"/>
          <w:szCs w:val="24"/>
          <w:lang w:val="es-ES" w:eastAsia="es-ES"/>
        </w:rPr>
        <w:t xml:space="preserve">de </w:t>
      </w:r>
      <w:r w:rsidR="008A6B7A" w:rsidRPr="00FF683A">
        <w:rPr>
          <w:rFonts w:ascii="Arial" w:eastAsia="Times New Roman" w:hAnsi="Arial" w:cs="Arial"/>
          <w:color w:val="000000"/>
          <w:sz w:val="24"/>
          <w:szCs w:val="24"/>
          <w:lang w:val="es-ES" w:eastAsia="es-ES"/>
        </w:rPr>
        <w:t xml:space="preserve">los </w:t>
      </w:r>
      <w:r w:rsidR="00A64B90" w:rsidRPr="00FF683A">
        <w:rPr>
          <w:rFonts w:ascii="Arial" w:eastAsia="Times New Roman" w:hAnsi="Arial" w:cs="Arial"/>
          <w:color w:val="000000"/>
          <w:sz w:val="24"/>
          <w:szCs w:val="24"/>
          <w:lang w:val="es-ES" w:eastAsia="es-ES"/>
        </w:rPr>
        <w:t xml:space="preserve">adultos mayores en </w:t>
      </w:r>
      <w:r w:rsidR="00722EA6">
        <w:rPr>
          <w:rFonts w:ascii="Arial" w:eastAsia="Times New Roman" w:hAnsi="Arial" w:cs="Arial"/>
          <w:color w:val="000000"/>
          <w:sz w:val="24"/>
          <w:szCs w:val="24"/>
          <w:lang w:val="es-ES" w:eastAsia="es-ES"/>
        </w:rPr>
        <w:t xml:space="preserve">materia de </w:t>
      </w:r>
      <w:r w:rsidR="00A64B90" w:rsidRPr="00FF683A">
        <w:rPr>
          <w:rFonts w:ascii="Arial" w:eastAsia="Times New Roman" w:hAnsi="Arial" w:cs="Arial"/>
          <w:color w:val="000000"/>
          <w:sz w:val="24"/>
          <w:szCs w:val="24"/>
          <w:lang w:val="es-ES" w:eastAsia="es-ES"/>
        </w:rPr>
        <w:t xml:space="preserve">salud, nutrición, vivienda, bienestar social, medio ambiente, educación, seguridad de ingresos y de empleo. </w:t>
      </w:r>
      <w:r w:rsidR="00A64B90" w:rsidRPr="00297143">
        <w:rPr>
          <w:rFonts w:ascii="Arial" w:eastAsia="Times New Roman" w:hAnsi="Arial" w:cs="Arial"/>
          <w:color w:val="000000"/>
          <w:sz w:val="24"/>
          <w:szCs w:val="24"/>
          <w:lang w:val="es-ES" w:eastAsia="es-ES"/>
        </w:rPr>
        <w:t>La comunidad internacional</w:t>
      </w:r>
      <w:r w:rsidR="00A76A63" w:rsidRPr="00297143">
        <w:rPr>
          <w:rFonts w:ascii="Arial" w:eastAsia="Times New Roman" w:hAnsi="Arial" w:cs="Arial"/>
          <w:color w:val="000000"/>
          <w:sz w:val="24"/>
          <w:szCs w:val="24"/>
          <w:lang w:val="es-ES" w:eastAsia="es-ES"/>
        </w:rPr>
        <w:t xml:space="preserve"> convencida </w:t>
      </w:r>
      <w:r w:rsidR="00722EA6">
        <w:rPr>
          <w:rFonts w:ascii="Arial" w:eastAsia="Times New Roman" w:hAnsi="Arial" w:cs="Arial"/>
          <w:color w:val="000000"/>
          <w:sz w:val="24"/>
          <w:szCs w:val="24"/>
          <w:lang w:val="es-ES" w:eastAsia="es-ES"/>
        </w:rPr>
        <w:t>de los hechos por venir, impulsó</w:t>
      </w:r>
      <w:r w:rsidR="00A76A63" w:rsidRPr="00297143">
        <w:rPr>
          <w:rFonts w:ascii="Arial" w:eastAsia="Times New Roman" w:hAnsi="Arial" w:cs="Arial"/>
          <w:color w:val="000000"/>
          <w:sz w:val="24"/>
          <w:szCs w:val="24"/>
          <w:lang w:val="es-ES" w:eastAsia="es-ES"/>
        </w:rPr>
        <w:t xml:space="preserve"> </w:t>
      </w:r>
      <w:r w:rsidR="00A64B90" w:rsidRPr="00297143">
        <w:rPr>
          <w:rFonts w:ascii="Arial" w:eastAsia="Times New Roman" w:hAnsi="Arial" w:cs="Arial"/>
          <w:color w:val="000000"/>
          <w:sz w:val="24"/>
          <w:szCs w:val="24"/>
          <w:lang w:val="es-ES" w:eastAsia="es-ES"/>
        </w:rPr>
        <w:t xml:space="preserve">programas de </w:t>
      </w:r>
      <w:r w:rsidR="00A76A63" w:rsidRPr="00297143">
        <w:rPr>
          <w:rFonts w:ascii="Arial" w:eastAsia="Times New Roman" w:hAnsi="Arial" w:cs="Arial"/>
          <w:color w:val="000000"/>
          <w:sz w:val="24"/>
          <w:szCs w:val="24"/>
          <w:lang w:val="es-ES" w:eastAsia="es-ES"/>
        </w:rPr>
        <w:t>trabajo</w:t>
      </w:r>
      <w:r w:rsidR="00A64B90" w:rsidRPr="00297143">
        <w:rPr>
          <w:rFonts w:ascii="Arial" w:eastAsia="Times New Roman" w:hAnsi="Arial" w:cs="Arial"/>
          <w:color w:val="000000"/>
          <w:sz w:val="24"/>
          <w:szCs w:val="24"/>
          <w:lang w:val="es-ES" w:eastAsia="es-ES"/>
        </w:rPr>
        <w:t xml:space="preserve"> para que los Estados</w:t>
      </w:r>
      <w:r w:rsidR="00A76A63" w:rsidRPr="00297143">
        <w:rPr>
          <w:rFonts w:ascii="Arial" w:eastAsia="Times New Roman" w:hAnsi="Arial" w:cs="Arial"/>
          <w:color w:val="000000"/>
          <w:sz w:val="24"/>
          <w:szCs w:val="24"/>
          <w:lang w:val="es-ES" w:eastAsia="es-ES"/>
        </w:rPr>
        <w:t xml:space="preserve"> </w:t>
      </w:r>
      <w:r w:rsidR="00AC5506">
        <w:rPr>
          <w:rFonts w:ascii="Arial" w:eastAsia="Times New Roman" w:hAnsi="Arial" w:cs="Arial"/>
          <w:color w:val="000000"/>
          <w:sz w:val="24"/>
          <w:szCs w:val="24"/>
          <w:lang w:val="es-ES" w:eastAsia="es-ES"/>
        </w:rPr>
        <w:t>participantes</w:t>
      </w:r>
      <w:r w:rsidR="00A76A63" w:rsidRPr="00297143">
        <w:rPr>
          <w:rFonts w:ascii="Arial" w:eastAsia="Times New Roman" w:hAnsi="Arial" w:cs="Arial"/>
          <w:color w:val="000000"/>
          <w:sz w:val="24"/>
          <w:szCs w:val="24"/>
          <w:lang w:val="es-ES" w:eastAsia="es-ES"/>
        </w:rPr>
        <w:t>,</w:t>
      </w:r>
      <w:r w:rsidR="00A64B90" w:rsidRPr="00297143">
        <w:rPr>
          <w:rFonts w:ascii="Arial" w:eastAsia="Times New Roman" w:hAnsi="Arial" w:cs="Arial"/>
          <w:color w:val="000000"/>
          <w:sz w:val="24"/>
          <w:szCs w:val="24"/>
          <w:lang w:val="es-ES" w:eastAsia="es-ES"/>
        </w:rPr>
        <w:t xml:space="preserve"> </w:t>
      </w:r>
      <w:r w:rsidR="00AC5506">
        <w:rPr>
          <w:rFonts w:ascii="Arial" w:eastAsia="Times New Roman" w:hAnsi="Arial" w:cs="Arial"/>
          <w:color w:val="000000"/>
          <w:sz w:val="24"/>
          <w:szCs w:val="24"/>
          <w:lang w:val="es-ES" w:eastAsia="es-ES"/>
        </w:rPr>
        <w:t xml:space="preserve">para </w:t>
      </w:r>
      <w:r w:rsidR="00A76A63" w:rsidRPr="00297143">
        <w:rPr>
          <w:rFonts w:ascii="Arial" w:eastAsia="Times New Roman" w:hAnsi="Arial" w:cs="Arial"/>
          <w:color w:val="000000"/>
          <w:sz w:val="24"/>
          <w:szCs w:val="24"/>
          <w:lang w:val="es-ES" w:eastAsia="es-ES"/>
        </w:rPr>
        <w:t>cre</w:t>
      </w:r>
      <w:r w:rsidR="00AC5506">
        <w:rPr>
          <w:rFonts w:ascii="Arial" w:eastAsia="Times New Roman" w:hAnsi="Arial" w:cs="Arial"/>
          <w:color w:val="000000"/>
          <w:sz w:val="24"/>
          <w:szCs w:val="24"/>
          <w:lang w:val="es-ES" w:eastAsia="es-ES"/>
        </w:rPr>
        <w:t>ar</w:t>
      </w:r>
      <w:r w:rsidR="00A64B90" w:rsidRPr="00297143">
        <w:rPr>
          <w:rFonts w:ascii="Arial" w:eastAsia="Times New Roman" w:hAnsi="Arial" w:cs="Arial"/>
          <w:color w:val="000000"/>
          <w:sz w:val="24"/>
          <w:szCs w:val="24"/>
          <w:lang w:val="es-ES" w:eastAsia="es-ES"/>
        </w:rPr>
        <w:t xml:space="preserve"> medidas </w:t>
      </w:r>
      <w:r w:rsidR="00AC5506">
        <w:rPr>
          <w:rFonts w:ascii="Arial" w:eastAsia="Times New Roman" w:hAnsi="Arial" w:cs="Arial"/>
          <w:color w:val="000000"/>
          <w:sz w:val="24"/>
          <w:szCs w:val="24"/>
          <w:lang w:val="es-ES" w:eastAsia="es-ES"/>
        </w:rPr>
        <w:t xml:space="preserve">dirigidas a </w:t>
      </w:r>
      <w:r w:rsidR="00A64B90" w:rsidRPr="00297143">
        <w:rPr>
          <w:rFonts w:ascii="Arial" w:eastAsia="Times New Roman" w:hAnsi="Arial" w:cs="Arial"/>
          <w:color w:val="000000"/>
          <w:sz w:val="24"/>
          <w:szCs w:val="24"/>
          <w:lang w:val="es-ES" w:eastAsia="es-ES"/>
        </w:rPr>
        <w:t xml:space="preserve">los adultos mayores </w:t>
      </w:r>
      <w:r w:rsidR="00AC5506">
        <w:rPr>
          <w:rFonts w:ascii="Arial" w:eastAsia="Times New Roman" w:hAnsi="Arial" w:cs="Arial"/>
          <w:color w:val="000000"/>
          <w:sz w:val="24"/>
          <w:szCs w:val="24"/>
          <w:lang w:val="es-ES" w:eastAsia="es-ES"/>
        </w:rPr>
        <w:t xml:space="preserve">para que </w:t>
      </w:r>
      <w:r w:rsidR="00A76A63" w:rsidRPr="00297143">
        <w:rPr>
          <w:rFonts w:ascii="Arial" w:eastAsia="Times New Roman" w:hAnsi="Arial" w:cs="Arial"/>
          <w:color w:val="000000"/>
          <w:sz w:val="24"/>
          <w:szCs w:val="24"/>
          <w:lang w:val="es-ES" w:eastAsia="es-ES"/>
        </w:rPr>
        <w:t xml:space="preserve">tengan </w:t>
      </w:r>
      <w:r w:rsidR="00A64B90" w:rsidRPr="00297143">
        <w:rPr>
          <w:rFonts w:ascii="Arial" w:eastAsia="Times New Roman" w:hAnsi="Arial" w:cs="Arial"/>
          <w:color w:val="000000"/>
          <w:sz w:val="24"/>
          <w:szCs w:val="24"/>
          <w:lang w:val="es-ES" w:eastAsia="es-ES"/>
        </w:rPr>
        <w:t xml:space="preserve">una vida digna, </w:t>
      </w:r>
      <w:r w:rsidR="00A76A63" w:rsidRPr="00297143">
        <w:rPr>
          <w:rFonts w:ascii="Arial" w:eastAsia="Times New Roman" w:hAnsi="Arial" w:cs="Arial"/>
          <w:color w:val="000000"/>
          <w:sz w:val="24"/>
          <w:szCs w:val="24"/>
          <w:lang w:val="es-ES" w:eastAsia="es-ES"/>
        </w:rPr>
        <w:t xml:space="preserve">con </w:t>
      </w:r>
      <w:r w:rsidR="00A64B90" w:rsidRPr="00297143">
        <w:rPr>
          <w:rFonts w:ascii="Arial" w:eastAsia="Times New Roman" w:hAnsi="Arial" w:cs="Arial"/>
          <w:color w:val="000000"/>
          <w:sz w:val="24"/>
          <w:szCs w:val="24"/>
          <w:lang w:val="es-ES" w:eastAsia="es-ES"/>
        </w:rPr>
        <w:t xml:space="preserve">derechos </w:t>
      </w:r>
      <w:r w:rsidR="00A76A63" w:rsidRPr="00297143">
        <w:rPr>
          <w:rFonts w:ascii="Arial" w:eastAsia="Times New Roman" w:hAnsi="Arial" w:cs="Arial"/>
          <w:color w:val="000000"/>
          <w:sz w:val="24"/>
          <w:szCs w:val="24"/>
          <w:lang w:val="es-ES" w:eastAsia="es-ES"/>
        </w:rPr>
        <w:t>de autonomía</w:t>
      </w:r>
      <w:r w:rsidR="00A64B90" w:rsidRPr="00297143">
        <w:rPr>
          <w:rFonts w:ascii="Arial" w:eastAsia="Times New Roman" w:hAnsi="Arial" w:cs="Arial"/>
          <w:color w:val="000000"/>
          <w:sz w:val="24"/>
          <w:szCs w:val="24"/>
          <w:lang w:val="es-ES" w:eastAsia="es-ES"/>
        </w:rPr>
        <w:t xml:space="preserve">, participación social, realización </w:t>
      </w:r>
      <w:r w:rsidR="00A76A63" w:rsidRPr="00297143">
        <w:rPr>
          <w:rFonts w:ascii="Arial" w:eastAsia="Times New Roman" w:hAnsi="Arial" w:cs="Arial"/>
          <w:color w:val="000000"/>
          <w:sz w:val="24"/>
          <w:szCs w:val="24"/>
          <w:lang w:val="es-ES" w:eastAsia="es-ES"/>
        </w:rPr>
        <w:t xml:space="preserve">individual y se </w:t>
      </w:r>
      <w:r w:rsidR="00A64B90" w:rsidRPr="00297143">
        <w:rPr>
          <w:rFonts w:ascii="Arial" w:eastAsia="Times New Roman" w:hAnsi="Arial" w:cs="Arial"/>
          <w:color w:val="000000"/>
          <w:sz w:val="24"/>
          <w:szCs w:val="24"/>
          <w:lang w:val="es-ES" w:eastAsia="es-ES"/>
        </w:rPr>
        <w:t>aproveche el potencial de las personas mayores en el siglo XXI.</w:t>
      </w:r>
    </w:p>
    <w:p w14:paraId="09C87512" w14:textId="77777777" w:rsidR="009D52FA" w:rsidRDefault="009D52FA" w:rsidP="00C36793">
      <w:pPr>
        <w:pStyle w:val="Prrafodelista"/>
        <w:tabs>
          <w:tab w:val="left" w:pos="142"/>
        </w:tabs>
        <w:spacing w:after="0" w:line="276" w:lineRule="auto"/>
        <w:ind w:left="0"/>
        <w:jc w:val="both"/>
        <w:rPr>
          <w:rFonts w:ascii="Arial" w:eastAsia="Times New Roman" w:hAnsi="Arial" w:cs="Arial"/>
          <w:color w:val="000000"/>
          <w:sz w:val="24"/>
          <w:szCs w:val="24"/>
          <w:lang w:val="es-ES" w:eastAsia="es-ES"/>
        </w:rPr>
      </w:pPr>
    </w:p>
    <w:p w14:paraId="349FAE78" w14:textId="56D8E866" w:rsidR="00A64B90" w:rsidRDefault="009D52FA" w:rsidP="00C36793">
      <w:pPr>
        <w:pStyle w:val="Prrafodelista"/>
        <w:tabs>
          <w:tab w:val="left" w:pos="142"/>
        </w:tabs>
        <w:spacing w:after="0" w:line="276" w:lineRule="auto"/>
        <w:ind w:left="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w:t>
      </w:r>
      <w:r w:rsidR="00AC5506">
        <w:rPr>
          <w:rFonts w:ascii="Arial" w:eastAsia="Times New Roman" w:hAnsi="Arial" w:cs="Arial"/>
          <w:color w:val="000000"/>
          <w:sz w:val="24"/>
          <w:szCs w:val="24"/>
          <w:lang w:val="es-ES" w:eastAsia="es-ES"/>
        </w:rPr>
        <w:t>n correspondencia</w:t>
      </w:r>
      <w:r>
        <w:rPr>
          <w:rFonts w:ascii="Arial" w:eastAsia="Times New Roman" w:hAnsi="Arial" w:cs="Arial"/>
          <w:color w:val="000000"/>
          <w:sz w:val="24"/>
          <w:szCs w:val="24"/>
          <w:lang w:val="es-ES" w:eastAsia="es-ES"/>
        </w:rPr>
        <w:t xml:space="preserve"> con lo anterior,</w:t>
      </w:r>
      <w:r w:rsidR="00AC5506">
        <w:rPr>
          <w:rFonts w:ascii="Arial" w:eastAsia="Times New Roman" w:hAnsi="Arial" w:cs="Arial"/>
          <w:color w:val="000000"/>
          <w:sz w:val="24"/>
          <w:szCs w:val="24"/>
          <w:lang w:val="es-ES" w:eastAsia="es-ES"/>
        </w:rPr>
        <w:t xml:space="preserve"> </w:t>
      </w:r>
      <w:r w:rsidR="00017CE9" w:rsidRPr="00297143">
        <w:rPr>
          <w:rFonts w:ascii="Arial" w:eastAsia="Times New Roman" w:hAnsi="Arial" w:cs="Arial"/>
          <w:color w:val="000000"/>
          <w:sz w:val="24"/>
          <w:szCs w:val="24"/>
          <w:lang w:val="es-ES" w:eastAsia="es-ES"/>
        </w:rPr>
        <w:t>e</w:t>
      </w:r>
      <w:r w:rsidR="00A64B90" w:rsidRPr="00297143">
        <w:rPr>
          <w:rFonts w:ascii="Arial" w:eastAsia="Times New Roman" w:hAnsi="Arial" w:cs="Arial"/>
          <w:color w:val="000000"/>
          <w:sz w:val="24"/>
          <w:szCs w:val="24"/>
          <w:lang w:val="es-ES" w:eastAsia="es-ES"/>
        </w:rPr>
        <w:t xml:space="preserve">l 15 de junio de 2015, en la </w:t>
      </w:r>
      <w:r w:rsidR="00A64B90" w:rsidRPr="00D2348F">
        <w:rPr>
          <w:rFonts w:ascii="Arial" w:eastAsia="Times New Roman" w:hAnsi="Arial" w:cs="Arial"/>
          <w:color w:val="000000"/>
          <w:sz w:val="24"/>
          <w:szCs w:val="24"/>
          <w:lang w:val="es-ES" w:eastAsia="es-ES"/>
        </w:rPr>
        <w:t>45 Sesión de la Organización de los Estados Americanos</w:t>
      </w:r>
      <w:r w:rsidR="00017CE9" w:rsidRPr="00D2348F">
        <w:rPr>
          <w:rFonts w:ascii="Arial" w:eastAsia="Times New Roman" w:hAnsi="Arial" w:cs="Arial"/>
          <w:color w:val="000000"/>
          <w:sz w:val="24"/>
          <w:szCs w:val="24"/>
          <w:lang w:val="es-ES" w:eastAsia="es-ES"/>
        </w:rPr>
        <w:t xml:space="preserve"> (OEA)</w:t>
      </w:r>
      <w:r w:rsidR="00A64B90" w:rsidRPr="00D2348F">
        <w:rPr>
          <w:rFonts w:ascii="Arial" w:eastAsia="Times New Roman" w:hAnsi="Arial" w:cs="Arial"/>
          <w:color w:val="000000"/>
          <w:sz w:val="24"/>
          <w:szCs w:val="24"/>
          <w:lang w:val="es-ES" w:eastAsia="es-ES"/>
        </w:rPr>
        <w:t>, se aprobó la Convención Interamericana sobre la Protección de los Derechos Humanos de las Personas Mayores</w:t>
      </w:r>
      <w:r>
        <w:rPr>
          <w:rFonts w:ascii="Arial" w:eastAsia="Times New Roman" w:hAnsi="Arial" w:cs="Arial"/>
          <w:color w:val="000000"/>
          <w:sz w:val="24"/>
          <w:szCs w:val="24"/>
          <w:lang w:val="es-ES" w:eastAsia="es-ES"/>
        </w:rPr>
        <w:t>;</w:t>
      </w:r>
      <w:r w:rsidR="00A64B90" w:rsidRPr="00297143">
        <w:rPr>
          <w:rFonts w:ascii="Arial" w:eastAsia="Times New Roman" w:hAnsi="Arial" w:cs="Arial"/>
          <w:color w:val="000000"/>
          <w:sz w:val="24"/>
          <w:szCs w:val="24"/>
          <w:lang w:val="es-ES" w:eastAsia="es-ES"/>
        </w:rPr>
        <w:t xml:space="preserve"> primer instrumento jurídico </w:t>
      </w:r>
      <w:r w:rsidR="00017CE9" w:rsidRPr="00297143">
        <w:rPr>
          <w:rFonts w:ascii="Arial" w:eastAsia="Times New Roman" w:hAnsi="Arial" w:cs="Arial"/>
          <w:color w:val="000000"/>
          <w:sz w:val="24"/>
          <w:szCs w:val="24"/>
          <w:lang w:val="es-ES" w:eastAsia="es-ES"/>
        </w:rPr>
        <w:t>definido</w:t>
      </w:r>
      <w:r w:rsidR="00A64B90" w:rsidRPr="00297143">
        <w:rPr>
          <w:rFonts w:ascii="Arial" w:eastAsia="Times New Roman" w:hAnsi="Arial" w:cs="Arial"/>
          <w:color w:val="000000"/>
          <w:sz w:val="24"/>
          <w:szCs w:val="24"/>
          <w:lang w:val="es-ES" w:eastAsia="es-ES"/>
        </w:rPr>
        <w:t xml:space="preserve">, en materia de derechos humanos </w:t>
      </w:r>
      <w:r w:rsidR="00017CE9" w:rsidRPr="00297143">
        <w:rPr>
          <w:rFonts w:ascii="Arial" w:eastAsia="Times New Roman" w:hAnsi="Arial" w:cs="Arial"/>
          <w:color w:val="000000"/>
          <w:sz w:val="24"/>
          <w:szCs w:val="24"/>
          <w:lang w:val="es-ES" w:eastAsia="es-ES"/>
        </w:rPr>
        <w:t xml:space="preserve">para </w:t>
      </w:r>
      <w:r w:rsidR="00A64B90" w:rsidRPr="00297143">
        <w:rPr>
          <w:rFonts w:ascii="Arial" w:eastAsia="Times New Roman" w:hAnsi="Arial" w:cs="Arial"/>
          <w:color w:val="000000"/>
          <w:sz w:val="24"/>
          <w:szCs w:val="24"/>
          <w:lang w:val="es-ES" w:eastAsia="es-ES"/>
        </w:rPr>
        <w:t xml:space="preserve">personas adultas mayores </w:t>
      </w:r>
      <w:r w:rsidR="00017CE9" w:rsidRPr="00297143">
        <w:rPr>
          <w:rFonts w:ascii="Arial" w:eastAsia="Times New Roman" w:hAnsi="Arial" w:cs="Arial"/>
          <w:color w:val="000000"/>
          <w:sz w:val="24"/>
          <w:szCs w:val="24"/>
          <w:lang w:val="es-ES" w:eastAsia="es-ES"/>
        </w:rPr>
        <w:t xml:space="preserve">que </w:t>
      </w:r>
      <w:r w:rsidR="00A64B90" w:rsidRPr="00297143">
        <w:rPr>
          <w:rFonts w:ascii="Arial" w:eastAsia="Times New Roman" w:hAnsi="Arial" w:cs="Arial"/>
          <w:color w:val="000000"/>
          <w:sz w:val="24"/>
          <w:szCs w:val="24"/>
          <w:lang w:val="es-ES" w:eastAsia="es-ES"/>
        </w:rPr>
        <w:t>prom</w:t>
      </w:r>
      <w:r w:rsidR="00017CE9" w:rsidRPr="00297143">
        <w:rPr>
          <w:rFonts w:ascii="Arial" w:eastAsia="Times New Roman" w:hAnsi="Arial" w:cs="Arial"/>
          <w:color w:val="000000"/>
          <w:sz w:val="24"/>
          <w:szCs w:val="24"/>
          <w:lang w:val="es-ES" w:eastAsia="es-ES"/>
        </w:rPr>
        <w:t>ueve,</w:t>
      </w:r>
      <w:r w:rsidR="00A64B90" w:rsidRPr="00297143">
        <w:rPr>
          <w:rFonts w:ascii="Arial" w:eastAsia="Times New Roman" w:hAnsi="Arial" w:cs="Arial"/>
          <w:color w:val="000000"/>
          <w:sz w:val="24"/>
          <w:szCs w:val="24"/>
          <w:lang w:val="es-ES" w:eastAsia="es-ES"/>
        </w:rPr>
        <w:t xml:space="preserve"> protege</w:t>
      </w:r>
      <w:r w:rsidR="00017CE9" w:rsidRPr="00297143">
        <w:rPr>
          <w:rFonts w:ascii="Arial" w:eastAsia="Times New Roman" w:hAnsi="Arial" w:cs="Arial"/>
          <w:color w:val="000000"/>
          <w:sz w:val="24"/>
          <w:szCs w:val="24"/>
          <w:lang w:val="es-ES" w:eastAsia="es-ES"/>
        </w:rPr>
        <w:t xml:space="preserve"> y legitima</w:t>
      </w:r>
      <w:r w:rsidR="00A64B90" w:rsidRPr="00297143">
        <w:rPr>
          <w:rFonts w:ascii="Arial" w:eastAsia="Times New Roman" w:hAnsi="Arial" w:cs="Arial"/>
          <w:color w:val="000000"/>
          <w:sz w:val="24"/>
          <w:szCs w:val="24"/>
          <w:lang w:val="es-ES" w:eastAsia="es-ES"/>
        </w:rPr>
        <w:t xml:space="preserve"> el reconocimiento</w:t>
      </w:r>
      <w:r w:rsidR="00017CE9" w:rsidRPr="00297143">
        <w:rPr>
          <w:rFonts w:ascii="Arial" w:eastAsia="Times New Roman" w:hAnsi="Arial" w:cs="Arial"/>
          <w:color w:val="000000"/>
          <w:sz w:val="24"/>
          <w:szCs w:val="24"/>
          <w:lang w:val="es-ES" w:eastAsia="es-ES"/>
        </w:rPr>
        <w:t xml:space="preserve">, </w:t>
      </w:r>
      <w:r w:rsidR="00A64B90" w:rsidRPr="00297143">
        <w:rPr>
          <w:rFonts w:ascii="Arial" w:eastAsia="Times New Roman" w:hAnsi="Arial" w:cs="Arial"/>
          <w:color w:val="000000"/>
          <w:sz w:val="24"/>
          <w:szCs w:val="24"/>
          <w:lang w:val="es-ES" w:eastAsia="es-ES"/>
        </w:rPr>
        <w:t>goce y ejercicio</w:t>
      </w:r>
      <w:r w:rsidR="002E2882" w:rsidRPr="00297143">
        <w:rPr>
          <w:rFonts w:ascii="Arial" w:eastAsia="Times New Roman" w:hAnsi="Arial" w:cs="Arial"/>
          <w:color w:val="000000"/>
          <w:sz w:val="24"/>
          <w:szCs w:val="24"/>
          <w:lang w:val="es-ES" w:eastAsia="es-ES"/>
        </w:rPr>
        <w:t>;</w:t>
      </w:r>
      <w:r w:rsidR="00A64B90" w:rsidRPr="00297143">
        <w:rPr>
          <w:rFonts w:ascii="Arial" w:eastAsia="Times New Roman" w:hAnsi="Arial" w:cs="Arial"/>
          <w:color w:val="000000"/>
          <w:sz w:val="24"/>
          <w:szCs w:val="24"/>
          <w:lang w:val="es-ES" w:eastAsia="es-ES"/>
        </w:rPr>
        <w:t xml:space="preserve"> </w:t>
      </w:r>
      <w:r w:rsidR="00017CE9" w:rsidRPr="00297143">
        <w:rPr>
          <w:rFonts w:ascii="Arial" w:eastAsia="Times New Roman" w:hAnsi="Arial" w:cs="Arial"/>
          <w:color w:val="000000"/>
          <w:sz w:val="24"/>
          <w:szCs w:val="24"/>
          <w:lang w:val="es-ES" w:eastAsia="es-ES"/>
        </w:rPr>
        <w:t>d</w:t>
      </w:r>
      <w:r w:rsidR="00A64B90" w:rsidRPr="00297143">
        <w:rPr>
          <w:rFonts w:ascii="Arial" w:eastAsia="Times New Roman" w:hAnsi="Arial" w:cs="Arial"/>
          <w:color w:val="000000"/>
          <w:sz w:val="24"/>
          <w:szCs w:val="24"/>
          <w:lang w:val="es-ES" w:eastAsia="es-ES"/>
        </w:rPr>
        <w:t xml:space="preserve">e igualdad, derechos humanos y libertades </w:t>
      </w:r>
      <w:r w:rsidR="00A64B90" w:rsidRPr="00297143">
        <w:rPr>
          <w:rFonts w:ascii="Arial" w:eastAsia="Times New Roman" w:hAnsi="Arial" w:cs="Arial"/>
          <w:color w:val="000000"/>
          <w:sz w:val="24"/>
          <w:szCs w:val="24"/>
          <w:lang w:val="es-ES" w:eastAsia="es-ES"/>
        </w:rPr>
        <w:lastRenderedPageBreak/>
        <w:t>fundamentales de las personas adultas mayores</w:t>
      </w:r>
      <w:r>
        <w:rPr>
          <w:rFonts w:ascii="Arial" w:eastAsia="Times New Roman" w:hAnsi="Arial" w:cs="Arial"/>
          <w:color w:val="000000"/>
          <w:sz w:val="24"/>
          <w:szCs w:val="24"/>
          <w:lang w:val="es-ES" w:eastAsia="es-ES"/>
        </w:rPr>
        <w:t>,</w:t>
      </w:r>
      <w:r w:rsidR="00A64B90" w:rsidRPr="00297143">
        <w:rPr>
          <w:rFonts w:ascii="Arial" w:eastAsia="Times New Roman" w:hAnsi="Arial" w:cs="Arial"/>
          <w:color w:val="000000"/>
          <w:sz w:val="24"/>
          <w:szCs w:val="24"/>
          <w:lang w:val="es-ES" w:eastAsia="es-ES"/>
        </w:rPr>
        <w:t xml:space="preserve"> </w:t>
      </w:r>
      <w:r w:rsidR="00017CE9" w:rsidRPr="00297143">
        <w:rPr>
          <w:rFonts w:ascii="Arial" w:eastAsia="Times New Roman" w:hAnsi="Arial" w:cs="Arial"/>
          <w:color w:val="000000"/>
          <w:sz w:val="24"/>
          <w:szCs w:val="24"/>
          <w:lang w:val="es-ES" w:eastAsia="es-ES"/>
        </w:rPr>
        <w:t>garantizando su inclusión en la sociedad</w:t>
      </w:r>
      <w:r>
        <w:rPr>
          <w:rFonts w:ascii="Arial" w:eastAsia="Times New Roman" w:hAnsi="Arial" w:cs="Arial"/>
          <w:color w:val="000000"/>
          <w:sz w:val="24"/>
          <w:szCs w:val="24"/>
          <w:lang w:val="es-ES" w:eastAsia="es-ES"/>
        </w:rPr>
        <w:t xml:space="preserve"> de manera plena</w:t>
      </w:r>
      <w:r w:rsidR="00017CE9" w:rsidRPr="00297143">
        <w:rPr>
          <w:rFonts w:ascii="Arial" w:eastAsia="Times New Roman" w:hAnsi="Arial" w:cs="Arial"/>
          <w:color w:val="000000"/>
          <w:sz w:val="24"/>
          <w:szCs w:val="24"/>
          <w:lang w:val="es-ES" w:eastAsia="es-ES"/>
        </w:rPr>
        <w:t>.</w:t>
      </w:r>
    </w:p>
    <w:p w14:paraId="6789135A" w14:textId="5A8E160E" w:rsidR="00A769BE" w:rsidRDefault="00A769BE" w:rsidP="00C36793">
      <w:pPr>
        <w:pStyle w:val="Prrafodelista"/>
        <w:tabs>
          <w:tab w:val="left" w:pos="142"/>
        </w:tabs>
        <w:spacing w:after="0" w:line="276" w:lineRule="auto"/>
        <w:ind w:left="0"/>
        <w:jc w:val="both"/>
        <w:rPr>
          <w:rFonts w:ascii="Arial" w:eastAsia="Times New Roman" w:hAnsi="Arial" w:cs="Arial"/>
          <w:color w:val="000000"/>
          <w:sz w:val="24"/>
          <w:szCs w:val="24"/>
          <w:lang w:val="es-ES" w:eastAsia="es-ES"/>
        </w:rPr>
      </w:pPr>
    </w:p>
    <w:p w14:paraId="17F110B3" w14:textId="77777777" w:rsidR="009D52FA" w:rsidRPr="00297143" w:rsidRDefault="009D52FA" w:rsidP="00C36793">
      <w:pPr>
        <w:pStyle w:val="Prrafodelista"/>
        <w:tabs>
          <w:tab w:val="left" w:pos="142"/>
        </w:tabs>
        <w:spacing w:after="0" w:line="276" w:lineRule="auto"/>
        <w:ind w:left="0"/>
        <w:jc w:val="both"/>
        <w:rPr>
          <w:rFonts w:ascii="Arial" w:eastAsia="Times New Roman" w:hAnsi="Arial" w:cs="Arial"/>
          <w:color w:val="000000"/>
          <w:sz w:val="24"/>
          <w:szCs w:val="24"/>
          <w:lang w:val="es-ES" w:eastAsia="es-ES"/>
        </w:rPr>
      </w:pPr>
    </w:p>
    <w:p w14:paraId="6CF50BA8" w14:textId="77777777" w:rsidR="00A64B90" w:rsidRPr="002A57B1" w:rsidRDefault="00A64B90" w:rsidP="00C36793">
      <w:pPr>
        <w:spacing w:after="0" w:line="276" w:lineRule="auto"/>
        <w:jc w:val="both"/>
        <w:rPr>
          <w:rFonts w:ascii="Arial" w:eastAsia="Times New Roman" w:hAnsi="Arial" w:cs="Arial"/>
          <w:b/>
          <w:bCs/>
          <w:color w:val="000000"/>
          <w:sz w:val="24"/>
          <w:szCs w:val="24"/>
          <w:lang w:val="es-ES" w:eastAsia="es-ES"/>
        </w:rPr>
      </w:pPr>
      <w:r w:rsidRPr="002A57B1">
        <w:rPr>
          <w:rFonts w:ascii="Arial" w:eastAsia="Times New Roman" w:hAnsi="Arial" w:cs="Arial"/>
          <w:b/>
          <w:bCs/>
          <w:color w:val="000000"/>
          <w:sz w:val="24"/>
          <w:szCs w:val="24"/>
          <w:lang w:val="es-ES" w:eastAsia="es-ES"/>
        </w:rPr>
        <w:t>Dentro de los principios destacados de esta Convención se encuentran:</w:t>
      </w:r>
    </w:p>
    <w:p w14:paraId="0FCD129D" w14:textId="6E89425C" w:rsidR="00A64B90" w:rsidRPr="002A57B1" w:rsidRDefault="00A64B90" w:rsidP="00C36793">
      <w:pPr>
        <w:numPr>
          <w:ilvl w:val="0"/>
          <w:numId w:val="12"/>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valorización de la persona mayor, su papel en la sociedad y contribución al</w:t>
      </w:r>
      <w:r w:rsidR="00017CE9" w:rsidRPr="002A57B1">
        <w:rPr>
          <w:rFonts w:ascii="Arial" w:eastAsia="Times New Roman" w:hAnsi="Arial" w:cs="Arial"/>
          <w:color w:val="000000"/>
          <w:sz w:val="24"/>
          <w:szCs w:val="24"/>
          <w:lang w:val="es-ES" w:eastAsia="es-ES"/>
        </w:rPr>
        <w:t xml:space="preserve"> </w:t>
      </w:r>
      <w:r w:rsidRPr="002A57B1">
        <w:rPr>
          <w:rFonts w:ascii="Arial" w:eastAsia="Times New Roman" w:hAnsi="Arial" w:cs="Arial"/>
          <w:color w:val="000000"/>
          <w:sz w:val="24"/>
          <w:szCs w:val="24"/>
          <w:lang w:val="es-ES" w:eastAsia="es-ES"/>
        </w:rPr>
        <w:t>desarrollo. </w:t>
      </w:r>
    </w:p>
    <w:p w14:paraId="494FB7C6"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dignidad, independencia, protagonismo y autonomía de la persona mayor. </w:t>
      </w:r>
    </w:p>
    <w:p w14:paraId="1249FD40"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igualdad y no discriminación. </w:t>
      </w:r>
    </w:p>
    <w:p w14:paraId="3B853D51"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participación, integración e inclusión plena y efectiva en la sociedad. </w:t>
      </w:r>
    </w:p>
    <w:p w14:paraId="018E27B1"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autorrealización. </w:t>
      </w:r>
    </w:p>
    <w:p w14:paraId="45956DEB"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equidad e igualdad de género y enfoque de curso de vida. </w:t>
      </w:r>
    </w:p>
    <w:p w14:paraId="10A6A831"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El enfoque diferencial para el goce efectivo de los derechos de la persona mayor. </w:t>
      </w:r>
    </w:p>
    <w:p w14:paraId="648F1A3E" w14:textId="77777777" w:rsidR="00A64B90" w:rsidRPr="002A57B1" w:rsidRDefault="00A64B90" w:rsidP="00C36793">
      <w:pPr>
        <w:numPr>
          <w:ilvl w:val="0"/>
          <w:numId w:val="12"/>
        </w:numPr>
        <w:tabs>
          <w:tab w:val="clear" w:pos="720"/>
          <w:tab w:val="num" w:pos="284"/>
        </w:tabs>
        <w:spacing w:before="100" w:beforeAutospacing="1" w:after="0" w:line="276" w:lineRule="auto"/>
        <w:ind w:hanging="720"/>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El respeto y valorización de la diversidad cultural. </w:t>
      </w:r>
    </w:p>
    <w:p w14:paraId="7F2149F7" w14:textId="77777777" w:rsidR="0040154C" w:rsidRDefault="00A64B90" w:rsidP="00C36793">
      <w:pPr>
        <w:numPr>
          <w:ilvl w:val="0"/>
          <w:numId w:val="12"/>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La responsabilidad del Estado y participación de la familia y de la comunidad en la integración activa, plena y productiva de la persona mayor dentro de la sociedad, así como en su cuidado y atención, de acuerdo con su legislación interna.</w:t>
      </w:r>
    </w:p>
    <w:p w14:paraId="498DE725" w14:textId="77777777" w:rsidR="0040154C" w:rsidRDefault="0040154C" w:rsidP="00C36793">
      <w:pPr>
        <w:spacing w:after="0" w:line="276" w:lineRule="auto"/>
        <w:jc w:val="both"/>
        <w:rPr>
          <w:rFonts w:ascii="Arial" w:eastAsia="Times New Roman" w:hAnsi="Arial" w:cs="Arial"/>
          <w:b/>
          <w:bCs/>
          <w:color w:val="000000"/>
          <w:sz w:val="24"/>
          <w:szCs w:val="24"/>
          <w:lang w:val="es-ES" w:eastAsia="es-ES"/>
        </w:rPr>
      </w:pPr>
    </w:p>
    <w:p w14:paraId="3FF39274" w14:textId="0E395C12" w:rsidR="00A64B90" w:rsidRPr="002A57B1" w:rsidRDefault="00A64B90" w:rsidP="00C36793">
      <w:pPr>
        <w:spacing w:after="0" w:line="276" w:lineRule="auto"/>
        <w:jc w:val="both"/>
        <w:rPr>
          <w:rFonts w:ascii="Arial" w:eastAsia="Times New Roman" w:hAnsi="Arial" w:cs="Arial"/>
          <w:b/>
          <w:bCs/>
          <w:color w:val="000000"/>
          <w:sz w:val="24"/>
          <w:szCs w:val="24"/>
          <w:lang w:val="es-ES" w:eastAsia="es-ES"/>
        </w:rPr>
      </w:pPr>
      <w:r w:rsidRPr="002A57B1">
        <w:rPr>
          <w:rFonts w:ascii="Arial" w:eastAsia="Times New Roman" w:hAnsi="Arial" w:cs="Arial"/>
          <w:b/>
          <w:bCs/>
          <w:color w:val="000000"/>
          <w:sz w:val="24"/>
          <w:szCs w:val="24"/>
          <w:lang w:val="es-ES" w:eastAsia="es-ES"/>
        </w:rPr>
        <w:t>Dentro de los principales deberes de los Estados partes se encuentran:</w:t>
      </w:r>
    </w:p>
    <w:p w14:paraId="7E4636D7" w14:textId="77777777" w:rsidR="00A64B90" w:rsidRPr="002A57B1" w:rsidRDefault="00A64B90" w:rsidP="00C36793">
      <w:pPr>
        <w:numPr>
          <w:ilvl w:val="0"/>
          <w:numId w:val="13"/>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Adoptar medidas para prevenir, sancionar y erradicar aquellas prácticas contrarias a la Convención.   </w:t>
      </w:r>
    </w:p>
    <w:p w14:paraId="66B2D9FA" w14:textId="77777777" w:rsidR="00A64B90" w:rsidRPr="002A57B1" w:rsidRDefault="00A64B90" w:rsidP="00C36793">
      <w:pPr>
        <w:numPr>
          <w:ilvl w:val="0"/>
          <w:numId w:val="13"/>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Adoptar las medidas afirmativas y realizarán los ajustes razonables que sean necesarios para el ejercicio de los derechos establecidos en la Convención y abstenerse de adoptar cualquier medida legislativa que sea incompatible con la misma. </w:t>
      </w:r>
    </w:p>
    <w:p w14:paraId="76614008" w14:textId="77777777" w:rsidR="00A64B90" w:rsidRPr="002A57B1" w:rsidRDefault="00A64B90" w:rsidP="00C36793">
      <w:pPr>
        <w:numPr>
          <w:ilvl w:val="0"/>
          <w:numId w:val="13"/>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Adoptar y fortalecer todas las medidas legislativas, administrativas, judiciales, presupuestarias y de cualquier otra índole, incluido un adecuado acceso a la justicia a fin garantizar a la persona mayor un trato diferenciado y preferencial en todos los ámbitos. </w:t>
      </w:r>
    </w:p>
    <w:p w14:paraId="0BE2688C" w14:textId="77777777" w:rsidR="00A64B90" w:rsidRPr="002A57B1" w:rsidRDefault="00A64B90" w:rsidP="00C36793">
      <w:pPr>
        <w:numPr>
          <w:ilvl w:val="0"/>
          <w:numId w:val="13"/>
        </w:numPr>
        <w:tabs>
          <w:tab w:val="clear" w:pos="720"/>
          <w:tab w:val="num" w:pos="284"/>
        </w:tabs>
        <w:spacing w:before="100" w:beforeAutospacing="1" w:after="0" w:line="276" w:lineRule="auto"/>
        <w:ind w:left="284" w:hanging="284"/>
        <w:jc w:val="both"/>
        <w:rPr>
          <w:rFonts w:ascii="Arial" w:eastAsia="Times New Roman" w:hAnsi="Arial" w:cs="Arial"/>
          <w:color w:val="000000"/>
          <w:sz w:val="24"/>
          <w:szCs w:val="24"/>
          <w:lang w:val="es-ES" w:eastAsia="es-ES"/>
        </w:rPr>
      </w:pPr>
      <w:r w:rsidRPr="002A57B1">
        <w:rPr>
          <w:rFonts w:ascii="Arial" w:eastAsia="Times New Roman" w:hAnsi="Arial" w:cs="Arial"/>
          <w:color w:val="000000"/>
          <w:sz w:val="24"/>
          <w:szCs w:val="24"/>
          <w:lang w:val="es-ES" w:eastAsia="es-ES"/>
        </w:rPr>
        <w:t>Promover instituciones públicas especializadas en la protección y promoción de los derechos de la persona mayor y su desarrollo integral. </w:t>
      </w:r>
    </w:p>
    <w:p w14:paraId="1F22ACEF" w14:textId="77777777" w:rsidR="00A4619C" w:rsidRDefault="00A4619C" w:rsidP="00C36793">
      <w:pPr>
        <w:spacing w:after="0" w:line="276" w:lineRule="auto"/>
        <w:jc w:val="both"/>
        <w:rPr>
          <w:rFonts w:ascii="Arial" w:eastAsia="Times New Roman" w:hAnsi="Arial" w:cs="Arial"/>
          <w:color w:val="000000"/>
          <w:sz w:val="24"/>
          <w:szCs w:val="24"/>
          <w:lang w:val="es-ES" w:eastAsia="es-ES"/>
        </w:rPr>
      </w:pPr>
    </w:p>
    <w:p w14:paraId="07D17D3B" w14:textId="658DCFA3" w:rsidR="00A64B90" w:rsidRDefault="00017CE9" w:rsidP="00C36793">
      <w:pPr>
        <w:spacing w:after="0" w:line="276" w:lineRule="auto"/>
        <w:jc w:val="both"/>
        <w:rPr>
          <w:rFonts w:ascii="Arial" w:eastAsia="Times New Roman" w:hAnsi="Arial" w:cs="Arial"/>
          <w:color w:val="000000"/>
          <w:sz w:val="24"/>
          <w:szCs w:val="24"/>
          <w:lang w:val="es-ES" w:eastAsia="es-ES"/>
        </w:rPr>
      </w:pPr>
      <w:r w:rsidRPr="00297143">
        <w:rPr>
          <w:rFonts w:ascii="Arial" w:eastAsia="Times New Roman" w:hAnsi="Arial" w:cs="Arial"/>
          <w:color w:val="000000"/>
          <w:sz w:val="24"/>
          <w:szCs w:val="24"/>
          <w:lang w:val="es-ES" w:eastAsia="es-ES"/>
        </w:rPr>
        <w:lastRenderedPageBreak/>
        <w:t xml:space="preserve">La </w:t>
      </w:r>
      <w:r w:rsidR="00A64B90" w:rsidRPr="00297143">
        <w:rPr>
          <w:rFonts w:ascii="Arial" w:eastAsia="Times New Roman" w:hAnsi="Arial" w:cs="Arial"/>
          <w:color w:val="000000"/>
          <w:sz w:val="24"/>
          <w:szCs w:val="24"/>
          <w:lang w:val="es-ES" w:eastAsia="es-ES"/>
        </w:rPr>
        <w:t xml:space="preserve">Convención </w:t>
      </w:r>
      <w:r w:rsidRPr="00297143">
        <w:rPr>
          <w:rFonts w:ascii="Arial" w:eastAsia="Times New Roman" w:hAnsi="Arial" w:cs="Arial"/>
          <w:color w:val="000000"/>
          <w:sz w:val="24"/>
          <w:szCs w:val="24"/>
          <w:lang w:val="es-ES" w:eastAsia="es-ES"/>
        </w:rPr>
        <w:t>funda</w:t>
      </w:r>
      <w:r w:rsidR="00A64B90" w:rsidRPr="00297143">
        <w:rPr>
          <w:rFonts w:ascii="Arial" w:eastAsia="Times New Roman" w:hAnsi="Arial" w:cs="Arial"/>
          <w:color w:val="000000"/>
          <w:sz w:val="24"/>
          <w:szCs w:val="24"/>
          <w:lang w:val="es-ES" w:eastAsia="es-ES"/>
        </w:rPr>
        <w:t xml:space="preserve"> un cambio de paradigma al </w:t>
      </w:r>
      <w:r w:rsidRPr="00297143">
        <w:rPr>
          <w:rFonts w:ascii="Arial" w:eastAsia="Times New Roman" w:hAnsi="Arial" w:cs="Arial"/>
          <w:color w:val="000000"/>
          <w:sz w:val="24"/>
          <w:szCs w:val="24"/>
          <w:lang w:val="es-ES" w:eastAsia="es-ES"/>
        </w:rPr>
        <w:t>abandonar</w:t>
      </w:r>
      <w:r w:rsidR="00A64B90" w:rsidRPr="00297143">
        <w:rPr>
          <w:rFonts w:ascii="Arial" w:eastAsia="Times New Roman" w:hAnsi="Arial" w:cs="Arial"/>
          <w:color w:val="000000"/>
          <w:sz w:val="24"/>
          <w:szCs w:val="24"/>
          <w:lang w:val="es-ES" w:eastAsia="es-ES"/>
        </w:rPr>
        <w:t xml:space="preserve"> </w:t>
      </w:r>
      <w:r w:rsidRPr="00297143">
        <w:rPr>
          <w:rFonts w:ascii="Arial" w:eastAsia="Times New Roman" w:hAnsi="Arial" w:cs="Arial"/>
          <w:color w:val="000000"/>
          <w:sz w:val="24"/>
          <w:szCs w:val="24"/>
          <w:lang w:val="es-ES" w:eastAsia="es-ES"/>
        </w:rPr>
        <w:t>la idea de l</w:t>
      </w:r>
      <w:r w:rsidR="00A64B90" w:rsidRPr="00297143">
        <w:rPr>
          <w:rFonts w:ascii="Arial" w:eastAsia="Times New Roman" w:hAnsi="Arial" w:cs="Arial"/>
          <w:color w:val="000000"/>
          <w:sz w:val="24"/>
          <w:szCs w:val="24"/>
          <w:lang w:val="es-ES" w:eastAsia="es-ES"/>
        </w:rPr>
        <w:t>as personas adultas mayores sujetas de asistencialismo</w:t>
      </w:r>
      <w:r w:rsidRPr="00297143">
        <w:rPr>
          <w:rFonts w:ascii="Arial" w:eastAsia="Times New Roman" w:hAnsi="Arial" w:cs="Arial"/>
          <w:color w:val="000000"/>
          <w:sz w:val="24"/>
          <w:szCs w:val="24"/>
          <w:lang w:val="es-ES" w:eastAsia="es-ES"/>
        </w:rPr>
        <w:t xml:space="preserve">, cambiando </w:t>
      </w:r>
      <w:r w:rsidR="00D136C1">
        <w:rPr>
          <w:rFonts w:ascii="Arial" w:eastAsia="Times New Roman" w:hAnsi="Arial" w:cs="Arial"/>
          <w:color w:val="000000"/>
          <w:sz w:val="24"/>
          <w:szCs w:val="24"/>
          <w:lang w:val="es-ES" w:eastAsia="es-ES"/>
        </w:rPr>
        <w:t xml:space="preserve">el criterio </w:t>
      </w:r>
      <w:r w:rsidR="002E2882" w:rsidRPr="00297143">
        <w:rPr>
          <w:rFonts w:ascii="Arial" w:eastAsia="Times New Roman" w:hAnsi="Arial" w:cs="Arial"/>
          <w:color w:val="000000"/>
          <w:sz w:val="24"/>
          <w:szCs w:val="24"/>
          <w:lang w:val="es-ES" w:eastAsia="es-ES"/>
        </w:rPr>
        <w:t xml:space="preserve">a </w:t>
      </w:r>
      <w:r w:rsidR="00A64B90" w:rsidRPr="00297143">
        <w:rPr>
          <w:rFonts w:ascii="Arial" w:eastAsia="Times New Roman" w:hAnsi="Arial" w:cs="Arial"/>
          <w:color w:val="000000"/>
          <w:sz w:val="24"/>
          <w:szCs w:val="24"/>
          <w:lang w:val="es-ES" w:eastAsia="es-ES"/>
        </w:rPr>
        <w:t>sujet</w:t>
      </w:r>
      <w:r w:rsidR="005B66A1" w:rsidRPr="00297143">
        <w:rPr>
          <w:rFonts w:ascii="Arial" w:eastAsia="Times New Roman" w:hAnsi="Arial" w:cs="Arial"/>
          <w:color w:val="000000"/>
          <w:sz w:val="24"/>
          <w:szCs w:val="24"/>
          <w:lang w:val="es-ES" w:eastAsia="es-ES"/>
        </w:rPr>
        <w:t xml:space="preserve">os </w:t>
      </w:r>
      <w:r w:rsidR="00A64B90" w:rsidRPr="00297143">
        <w:rPr>
          <w:rFonts w:ascii="Arial" w:eastAsia="Times New Roman" w:hAnsi="Arial" w:cs="Arial"/>
          <w:color w:val="000000"/>
          <w:sz w:val="24"/>
          <w:szCs w:val="24"/>
          <w:lang w:val="es-ES" w:eastAsia="es-ES"/>
        </w:rPr>
        <w:t>de derechos</w:t>
      </w:r>
      <w:r w:rsidR="005B66A1" w:rsidRPr="00297143">
        <w:rPr>
          <w:rFonts w:ascii="Arial" w:eastAsia="Times New Roman" w:hAnsi="Arial" w:cs="Arial"/>
          <w:color w:val="000000"/>
          <w:sz w:val="24"/>
          <w:szCs w:val="24"/>
          <w:lang w:val="es-ES" w:eastAsia="es-ES"/>
        </w:rPr>
        <w:t xml:space="preserve"> plenos</w:t>
      </w:r>
      <w:r w:rsidR="00A64B90" w:rsidRPr="00297143">
        <w:rPr>
          <w:rFonts w:ascii="Arial" w:eastAsia="Times New Roman" w:hAnsi="Arial" w:cs="Arial"/>
          <w:color w:val="000000"/>
          <w:sz w:val="24"/>
          <w:szCs w:val="24"/>
          <w:lang w:val="es-ES" w:eastAsia="es-ES"/>
        </w:rPr>
        <w:t>. Es un instrumento internacional de avanzada</w:t>
      </w:r>
      <w:r w:rsidR="009D52FA">
        <w:rPr>
          <w:rFonts w:ascii="Arial" w:eastAsia="Times New Roman" w:hAnsi="Arial" w:cs="Arial"/>
          <w:color w:val="000000"/>
          <w:sz w:val="24"/>
          <w:szCs w:val="24"/>
          <w:lang w:val="es-ES" w:eastAsia="es-ES"/>
        </w:rPr>
        <w:t>,</w:t>
      </w:r>
      <w:r w:rsidR="00A64B90" w:rsidRPr="00297143">
        <w:rPr>
          <w:rFonts w:ascii="Arial" w:eastAsia="Times New Roman" w:hAnsi="Arial" w:cs="Arial"/>
          <w:color w:val="000000"/>
          <w:sz w:val="24"/>
          <w:szCs w:val="24"/>
          <w:lang w:val="es-ES" w:eastAsia="es-ES"/>
        </w:rPr>
        <w:t xml:space="preserve"> ya que también aborda el principio </w:t>
      </w:r>
      <w:r w:rsidR="00A64B90" w:rsidRPr="009D52FA">
        <w:rPr>
          <w:rFonts w:ascii="Arial" w:eastAsia="Times New Roman" w:hAnsi="Arial" w:cs="Arial"/>
          <w:i/>
          <w:color w:val="000000"/>
          <w:sz w:val="24"/>
          <w:szCs w:val="24"/>
          <w:lang w:val="es-ES" w:eastAsia="es-ES"/>
        </w:rPr>
        <w:t>pro persona</w:t>
      </w:r>
      <w:r w:rsidR="00A64B90" w:rsidRPr="00297143">
        <w:rPr>
          <w:rFonts w:ascii="Arial" w:eastAsia="Times New Roman" w:hAnsi="Arial" w:cs="Arial"/>
          <w:color w:val="000000"/>
          <w:sz w:val="24"/>
          <w:szCs w:val="24"/>
          <w:lang w:val="es-ES" w:eastAsia="es-ES"/>
        </w:rPr>
        <w:t xml:space="preserve"> y el principio de </w:t>
      </w:r>
      <w:r w:rsidR="00A64B90" w:rsidRPr="009D52FA">
        <w:rPr>
          <w:rFonts w:ascii="Arial" w:eastAsia="Times New Roman" w:hAnsi="Arial" w:cs="Arial"/>
          <w:i/>
          <w:color w:val="000000"/>
          <w:sz w:val="24"/>
          <w:szCs w:val="24"/>
          <w:lang w:val="es-ES" w:eastAsia="es-ES"/>
        </w:rPr>
        <w:t>progresividad</w:t>
      </w:r>
      <w:r w:rsidR="00A64B90" w:rsidRPr="00297143">
        <w:rPr>
          <w:rStyle w:val="Refdenotaalpie"/>
          <w:rFonts w:ascii="Arial" w:eastAsia="Times New Roman" w:hAnsi="Arial" w:cs="Arial"/>
          <w:color w:val="000000"/>
          <w:sz w:val="24"/>
          <w:szCs w:val="24"/>
          <w:lang w:val="es-ES" w:eastAsia="es-ES"/>
        </w:rPr>
        <w:footnoteReference w:id="3"/>
      </w:r>
      <w:r w:rsidR="00A64B90" w:rsidRPr="00297143">
        <w:rPr>
          <w:rFonts w:ascii="Arial" w:eastAsia="Times New Roman" w:hAnsi="Arial" w:cs="Arial"/>
          <w:color w:val="000000"/>
          <w:sz w:val="24"/>
          <w:szCs w:val="24"/>
          <w:lang w:val="es-ES" w:eastAsia="es-ES"/>
        </w:rPr>
        <w:t>.</w:t>
      </w:r>
    </w:p>
    <w:p w14:paraId="2F23B4DF" w14:textId="77777777" w:rsidR="00D51F66" w:rsidRDefault="00D51F66" w:rsidP="00C36793">
      <w:pPr>
        <w:pStyle w:val="Prrafodelista"/>
        <w:tabs>
          <w:tab w:val="left" w:pos="142"/>
        </w:tabs>
        <w:spacing w:after="0" w:line="276" w:lineRule="auto"/>
        <w:ind w:left="0"/>
        <w:jc w:val="both"/>
        <w:rPr>
          <w:rFonts w:ascii="Arial" w:eastAsia="Calibri" w:hAnsi="Arial" w:cs="Arial"/>
          <w:b/>
          <w:bCs/>
          <w:sz w:val="24"/>
          <w:szCs w:val="24"/>
        </w:rPr>
      </w:pPr>
    </w:p>
    <w:p w14:paraId="173CAA67" w14:textId="04B73EFA" w:rsidR="000C6E4E" w:rsidRPr="00C20572" w:rsidRDefault="00F45C36" w:rsidP="00C36793">
      <w:pPr>
        <w:pStyle w:val="Prrafodelista"/>
        <w:tabs>
          <w:tab w:val="left" w:pos="142"/>
        </w:tabs>
        <w:spacing w:after="0" w:line="276" w:lineRule="auto"/>
        <w:ind w:left="0"/>
        <w:jc w:val="both"/>
        <w:rPr>
          <w:rFonts w:ascii="Arial" w:eastAsia="Calibri" w:hAnsi="Arial" w:cs="Arial"/>
          <w:sz w:val="24"/>
          <w:szCs w:val="24"/>
        </w:rPr>
      </w:pPr>
      <w:r>
        <w:rPr>
          <w:rFonts w:ascii="Arial" w:eastAsia="Calibri" w:hAnsi="Arial" w:cs="Arial"/>
          <w:b/>
          <w:bCs/>
          <w:sz w:val="24"/>
          <w:szCs w:val="24"/>
        </w:rPr>
        <w:t xml:space="preserve">CUARTA. </w:t>
      </w:r>
      <w:r>
        <w:rPr>
          <w:rFonts w:ascii="Arial" w:eastAsia="Calibri" w:hAnsi="Arial" w:cs="Arial"/>
          <w:bCs/>
          <w:sz w:val="24"/>
          <w:szCs w:val="24"/>
        </w:rPr>
        <w:t xml:space="preserve">Por otra parte, esta Comisión dictaminadora considera importante </w:t>
      </w:r>
      <w:r w:rsidR="003A4FDF">
        <w:rPr>
          <w:rFonts w:ascii="Arial" w:eastAsia="Calibri" w:hAnsi="Arial" w:cs="Arial"/>
          <w:bCs/>
          <w:sz w:val="24"/>
          <w:szCs w:val="24"/>
        </w:rPr>
        <w:t xml:space="preserve">referir la </w:t>
      </w:r>
      <w:r w:rsidR="003A4FDF" w:rsidRPr="00C20572">
        <w:rPr>
          <w:rFonts w:ascii="Arial" w:eastAsia="Calibri" w:hAnsi="Arial" w:cs="Arial"/>
          <w:bCs/>
          <w:sz w:val="24"/>
          <w:szCs w:val="24"/>
        </w:rPr>
        <w:t xml:space="preserve">respuesta al punto de acuerdo (11-10-18) por el que se exhorta al titular del poder </w:t>
      </w:r>
      <w:r w:rsidR="009D52FA">
        <w:rPr>
          <w:rFonts w:ascii="Arial" w:eastAsia="Calibri" w:hAnsi="Arial" w:cs="Arial"/>
          <w:bCs/>
          <w:sz w:val="24"/>
          <w:szCs w:val="24"/>
        </w:rPr>
        <w:t>E</w:t>
      </w:r>
      <w:r w:rsidR="003A4FDF" w:rsidRPr="00C20572">
        <w:rPr>
          <w:rFonts w:ascii="Arial" w:eastAsia="Calibri" w:hAnsi="Arial" w:cs="Arial"/>
          <w:bCs/>
          <w:sz w:val="24"/>
          <w:szCs w:val="24"/>
        </w:rPr>
        <w:t xml:space="preserve">jecutivo federal a concretar el proceso de firma y ratificación de la Convención Interamericana Sobre la Protección de los Derechos Humanos de las Personas Mayores, adoptada el 15 de junio de 2015 por la </w:t>
      </w:r>
      <w:r w:rsidR="009D52FA">
        <w:rPr>
          <w:rFonts w:ascii="Arial" w:eastAsia="Calibri" w:hAnsi="Arial" w:cs="Arial"/>
          <w:bCs/>
          <w:sz w:val="24"/>
          <w:szCs w:val="24"/>
        </w:rPr>
        <w:t>Asamblea General de la O</w:t>
      </w:r>
      <w:r w:rsidR="003A4FDF">
        <w:rPr>
          <w:rFonts w:ascii="Arial" w:eastAsia="Calibri" w:hAnsi="Arial" w:cs="Arial"/>
          <w:bCs/>
          <w:sz w:val="24"/>
          <w:szCs w:val="24"/>
        </w:rPr>
        <w:t xml:space="preserve">rganización de </w:t>
      </w:r>
      <w:r w:rsidR="009D52FA">
        <w:rPr>
          <w:rFonts w:ascii="Arial" w:eastAsia="Calibri" w:hAnsi="Arial" w:cs="Arial"/>
          <w:bCs/>
          <w:sz w:val="24"/>
          <w:szCs w:val="24"/>
        </w:rPr>
        <w:t>E</w:t>
      </w:r>
      <w:r w:rsidR="003A4FDF">
        <w:rPr>
          <w:rFonts w:ascii="Arial" w:eastAsia="Calibri" w:hAnsi="Arial" w:cs="Arial"/>
          <w:bCs/>
          <w:sz w:val="24"/>
          <w:szCs w:val="24"/>
        </w:rPr>
        <w:t xml:space="preserve">stados </w:t>
      </w:r>
      <w:r w:rsidR="009D52FA">
        <w:rPr>
          <w:rFonts w:ascii="Arial" w:eastAsia="Calibri" w:hAnsi="Arial" w:cs="Arial"/>
          <w:bCs/>
          <w:sz w:val="24"/>
          <w:szCs w:val="24"/>
        </w:rPr>
        <w:t>A</w:t>
      </w:r>
      <w:r w:rsidR="003A4FDF">
        <w:rPr>
          <w:rFonts w:ascii="Arial" w:eastAsia="Calibri" w:hAnsi="Arial" w:cs="Arial"/>
          <w:bCs/>
          <w:sz w:val="24"/>
          <w:szCs w:val="24"/>
        </w:rPr>
        <w:t>mericano</w:t>
      </w:r>
      <w:r w:rsidR="003A4FDF" w:rsidRPr="00C20572">
        <w:rPr>
          <w:rFonts w:ascii="Arial" w:eastAsia="Calibri" w:hAnsi="Arial" w:cs="Arial"/>
          <w:bCs/>
          <w:sz w:val="24"/>
          <w:szCs w:val="24"/>
        </w:rPr>
        <w:t>s.</w:t>
      </w:r>
      <w:r w:rsidR="003A4FDF" w:rsidRPr="00C20572">
        <w:rPr>
          <w:rFonts w:ascii="Arial" w:eastAsia="Calibri" w:hAnsi="Arial" w:cs="Arial"/>
          <w:sz w:val="24"/>
          <w:szCs w:val="24"/>
        </w:rPr>
        <w:t xml:space="preserve"> </w:t>
      </w:r>
    </w:p>
    <w:p w14:paraId="3B506EEE" w14:textId="77777777" w:rsidR="0040154C" w:rsidRDefault="0040154C" w:rsidP="00C36793">
      <w:pPr>
        <w:spacing w:after="0" w:line="276" w:lineRule="auto"/>
        <w:jc w:val="both"/>
        <w:rPr>
          <w:rFonts w:ascii="Arial" w:eastAsia="Calibri" w:hAnsi="Arial" w:cs="Arial"/>
          <w:sz w:val="24"/>
          <w:szCs w:val="24"/>
        </w:rPr>
      </w:pPr>
      <w:bookmarkStart w:id="4" w:name="_Hlk54899300"/>
    </w:p>
    <w:p w14:paraId="4D5536E9" w14:textId="14B33DA4" w:rsidR="000C6E4E" w:rsidRDefault="000E722B" w:rsidP="00C36793">
      <w:pPr>
        <w:spacing w:after="0" w:line="276" w:lineRule="auto"/>
        <w:jc w:val="both"/>
        <w:rPr>
          <w:rFonts w:ascii="Arial" w:eastAsia="Calibri" w:hAnsi="Arial" w:cs="Arial"/>
          <w:sz w:val="24"/>
          <w:szCs w:val="24"/>
        </w:rPr>
      </w:pPr>
      <w:r w:rsidRPr="00297143">
        <w:rPr>
          <w:rFonts w:ascii="Arial" w:eastAsia="Calibri" w:hAnsi="Arial" w:cs="Arial"/>
          <w:sz w:val="24"/>
          <w:szCs w:val="24"/>
        </w:rPr>
        <w:t>“</w:t>
      </w:r>
      <w:r w:rsidR="000C6E4E" w:rsidRPr="00297143">
        <w:rPr>
          <w:rFonts w:ascii="Arial" w:eastAsia="Calibri" w:hAnsi="Arial" w:cs="Arial"/>
          <w:sz w:val="24"/>
          <w:szCs w:val="24"/>
        </w:rPr>
        <w:t xml:space="preserve">Por lo que hace a la vinculación de México a la CIPDHPM, a fin de poder adherirnos a dicho instrumento, la Cancillería emprendió en 2018 un proceso </w:t>
      </w:r>
      <w:r w:rsidRPr="00297143">
        <w:rPr>
          <w:rFonts w:ascii="Arial" w:eastAsia="Calibri" w:hAnsi="Arial" w:cs="Arial"/>
          <w:sz w:val="24"/>
          <w:szCs w:val="24"/>
        </w:rPr>
        <w:t xml:space="preserve">de </w:t>
      </w:r>
      <w:r w:rsidR="000C6E4E" w:rsidRPr="00297143">
        <w:rPr>
          <w:rFonts w:ascii="Arial" w:eastAsia="Calibri" w:hAnsi="Arial" w:cs="Arial"/>
          <w:sz w:val="24"/>
          <w:szCs w:val="24"/>
        </w:rPr>
        <w:t>amplias consultas interinstitucionales para contar con el visto bueno de todas las dependencias competentes respecto a la viabilidad de que México se adhi</w:t>
      </w:r>
      <w:r w:rsidR="00EA5309" w:rsidRPr="00297143">
        <w:rPr>
          <w:rFonts w:ascii="Arial" w:eastAsia="Calibri" w:hAnsi="Arial" w:cs="Arial"/>
          <w:sz w:val="24"/>
          <w:szCs w:val="24"/>
        </w:rPr>
        <w:t xml:space="preserve">riese al tratado, </w:t>
      </w:r>
      <w:r w:rsidRPr="00297143">
        <w:rPr>
          <w:rFonts w:ascii="Arial" w:eastAsia="Calibri" w:hAnsi="Arial" w:cs="Arial"/>
          <w:sz w:val="24"/>
          <w:szCs w:val="24"/>
        </w:rPr>
        <w:t>mismo</w:t>
      </w:r>
      <w:r w:rsidR="00EA5309" w:rsidRPr="00297143">
        <w:rPr>
          <w:rFonts w:ascii="Arial" w:eastAsia="Calibri" w:hAnsi="Arial" w:cs="Arial"/>
          <w:sz w:val="24"/>
          <w:szCs w:val="24"/>
        </w:rPr>
        <w:t xml:space="preserve"> que requirió recabar información sobre el </w:t>
      </w:r>
      <w:r w:rsidRPr="00297143">
        <w:rPr>
          <w:rFonts w:ascii="Arial" w:eastAsia="Calibri" w:hAnsi="Arial" w:cs="Arial"/>
          <w:sz w:val="24"/>
          <w:szCs w:val="24"/>
        </w:rPr>
        <w:t>impacto</w:t>
      </w:r>
      <w:r w:rsidR="00EA5309" w:rsidRPr="00297143">
        <w:rPr>
          <w:rFonts w:ascii="Arial" w:eastAsia="Calibri" w:hAnsi="Arial" w:cs="Arial"/>
          <w:sz w:val="24"/>
          <w:szCs w:val="24"/>
        </w:rPr>
        <w:t xml:space="preserve"> presupuestario de la implementación de la Convención, en particular de sus artículos 12, 17 y 24, relativos a servicios de cuidado a largo plazo, seguridad social y derecho a la vivienda respectivamente. </w:t>
      </w:r>
    </w:p>
    <w:p w14:paraId="04270CCD" w14:textId="77777777" w:rsidR="00D51F66" w:rsidRPr="00297143" w:rsidRDefault="00D51F66" w:rsidP="00C36793">
      <w:pPr>
        <w:spacing w:after="0" w:line="276" w:lineRule="auto"/>
        <w:jc w:val="both"/>
        <w:rPr>
          <w:rFonts w:ascii="Arial" w:eastAsia="Calibri" w:hAnsi="Arial" w:cs="Arial"/>
          <w:sz w:val="24"/>
          <w:szCs w:val="24"/>
        </w:rPr>
      </w:pPr>
    </w:p>
    <w:p w14:paraId="6FA0CD7A" w14:textId="2E9BA36E" w:rsidR="00EA5309" w:rsidRPr="00297143" w:rsidRDefault="00EA5309" w:rsidP="00C36793">
      <w:pPr>
        <w:spacing w:after="0" w:line="276" w:lineRule="auto"/>
        <w:jc w:val="both"/>
        <w:rPr>
          <w:rFonts w:ascii="Arial" w:eastAsia="Calibri" w:hAnsi="Arial" w:cs="Arial"/>
          <w:sz w:val="24"/>
          <w:szCs w:val="24"/>
        </w:rPr>
      </w:pPr>
      <w:r w:rsidRPr="00297143">
        <w:rPr>
          <w:rFonts w:ascii="Arial" w:eastAsia="Calibri" w:hAnsi="Arial" w:cs="Arial"/>
          <w:sz w:val="24"/>
          <w:szCs w:val="24"/>
        </w:rPr>
        <w:t xml:space="preserve">En ese sentido, a petición de la Secretaría de Hacienda y </w:t>
      </w:r>
      <w:r w:rsidR="000E722B" w:rsidRPr="00297143">
        <w:rPr>
          <w:rFonts w:ascii="Arial" w:eastAsia="Calibri" w:hAnsi="Arial" w:cs="Arial"/>
          <w:sz w:val="24"/>
          <w:szCs w:val="24"/>
        </w:rPr>
        <w:t>Crédito</w:t>
      </w:r>
      <w:r w:rsidRPr="00297143">
        <w:rPr>
          <w:rFonts w:ascii="Arial" w:eastAsia="Calibri" w:hAnsi="Arial" w:cs="Arial"/>
          <w:sz w:val="24"/>
          <w:szCs w:val="24"/>
        </w:rPr>
        <w:t xml:space="preserve"> Público, al</w:t>
      </w:r>
      <w:r w:rsidR="000E722B" w:rsidRPr="00297143">
        <w:rPr>
          <w:rFonts w:ascii="Arial" w:eastAsia="Calibri" w:hAnsi="Arial" w:cs="Arial"/>
          <w:sz w:val="24"/>
          <w:szCs w:val="24"/>
        </w:rPr>
        <w:t>g</w:t>
      </w:r>
      <w:r w:rsidRPr="00297143">
        <w:rPr>
          <w:rFonts w:ascii="Arial" w:eastAsia="Calibri" w:hAnsi="Arial" w:cs="Arial"/>
          <w:sz w:val="24"/>
          <w:szCs w:val="24"/>
        </w:rPr>
        <w:t xml:space="preserve">unas de las instituciones competentes llevaron a cabo un análisis de impactos presupuestarios, para determinar el costo que tendría para dichas instituciones la adhesión de México a la CIPDHPM, así como la </w:t>
      </w:r>
      <w:r w:rsidR="000E722B" w:rsidRPr="00297143">
        <w:rPr>
          <w:rFonts w:ascii="Arial" w:eastAsia="Calibri" w:hAnsi="Arial" w:cs="Arial"/>
          <w:sz w:val="24"/>
          <w:szCs w:val="24"/>
        </w:rPr>
        <w:t>fuente</w:t>
      </w:r>
      <w:r w:rsidRPr="00297143">
        <w:rPr>
          <w:rFonts w:ascii="Arial" w:eastAsia="Calibri" w:hAnsi="Arial" w:cs="Arial"/>
          <w:sz w:val="24"/>
          <w:szCs w:val="24"/>
        </w:rPr>
        <w:t xml:space="preserve"> de financiamiento para cubrir los costos derivados de la misma, sin embargo, </w:t>
      </w:r>
      <w:r w:rsidRPr="00D136C1">
        <w:rPr>
          <w:rFonts w:ascii="Arial" w:eastAsia="Calibri" w:hAnsi="Arial" w:cs="Arial"/>
          <w:b/>
          <w:bCs/>
          <w:sz w:val="24"/>
          <w:szCs w:val="24"/>
        </w:rPr>
        <w:t>no se recibió la información solicitada por parte de todas las dependencias involucradas en el proceso.</w:t>
      </w:r>
    </w:p>
    <w:p w14:paraId="4EC1C079" w14:textId="77777777" w:rsidR="00D51F66" w:rsidRDefault="00D51F66" w:rsidP="00C36793">
      <w:pPr>
        <w:spacing w:after="0" w:line="276" w:lineRule="auto"/>
        <w:jc w:val="both"/>
        <w:rPr>
          <w:rFonts w:ascii="Arial" w:eastAsia="Calibri" w:hAnsi="Arial" w:cs="Arial"/>
          <w:sz w:val="24"/>
          <w:szCs w:val="24"/>
        </w:rPr>
      </w:pPr>
    </w:p>
    <w:p w14:paraId="7CBFA2C0" w14:textId="6A4E59F8" w:rsidR="00FF683A" w:rsidRDefault="00EA5309" w:rsidP="00C36793">
      <w:pPr>
        <w:spacing w:after="0" w:line="276" w:lineRule="auto"/>
        <w:jc w:val="both"/>
        <w:rPr>
          <w:rFonts w:ascii="Arial" w:eastAsia="Calibri" w:hAnsi="Arial" w:cs="Arial"/>
          <w:sz w:val="24"/>
          <w:szCs w:val="24"/>
        </w:rPr>
      </w:pPr>
      <w:r w:rsidRPr="00297143">
        <w:rPr>
          <w:rFonts w:ascii="Arial" w:eastAsia="Calibri" w:hAnsi="Arial" w:cs="Arial"/>
          <w:sz w:val="24"/>
          <w:szCs w:val="24"/>
        </w:rPr>
        <w:t>En este sentido, ante el cambio</w:t>
      </w:r>
      <w:r w:rsidR="009D52FA">
        <w:rPr>
          <w:rFonts w:ascii="Arial" w:eastAsia="Calibri" w:hAnsi="Arial" w:cs="Arial"/>
          <w:sz w:val="24"/>
          <w:szCs w:val="24"/>
        </w:rPr>
        <w:t xml:space="preserve"> en la Administración Pública Federal</w:t>
      </w:r>
      <w:r w:rsidRPr="00297143">
        <w:rPr>
          <w:rFonts w:ascii="Arial" w:eastAsia="Calibri" w:hAnsi="Arial" w:cs="Arial"/>
          <w:sz w:val="24"/>
          <w:szCs w:val="24"/>
        </w:rPr>
        <w:t xml:space="preserve"> y considerando el presupuesto acordado pa</w:t>
      </w:r>
      <w:r w:rsidR="000E722B" w:rsidRPr="00297143">
        <w:rPr>
          <w:rFonts w:ascii="Arial" w:eastAsia="Calibri" w:hAnsi="Arial" w:cs="Arial"/>
          <w:sz w:val="24"/>
          <w:szCs w:val="24"/>
        </w:rPr>
        <w:t xml:space="preserve">ra </w:t>
      </w:r>
      <w:r w:rsidRPr="00297143">
        <w:rPr>
          <w:rFonts w:ascii="Arial" w:eastAsia="Calibri" w:hAnsi="Arial" w:cs="Arial"/>
          <w:sz w:val="24"/>
          <w:szCs w:val="24"/>
        </w:rPr>
        <w:t xml:space="preserve">2019, será necesario reactivar el proceso de consultas para la valoración de las instancias sobre la factibilidad de adherirse a la </w:t>
      </w:r>
      <w:r w:rsidRPr="00297143">
        <w:rPr>
          <w:rFonts w:ascii="Arial" w:eastAsia="Calibri" w:hAnsi="Arial" w:cs="Arial"/>
          <w:sz w:val="24"/>
          <w:szCs w:val="24"/>
        </w:rPr>
        <w:lastRenderedPageBreak/>
        <w:t>citada Convención, y de ser el caso obtener todos los vistos buenos lisos y llanos que se requieren</w:t>
      </w:r>
      <w:bookmarkEnd w:id="4"/>
      <w:r w:rsidR="000E722B" w:rsidRPr="00297143">
        <w:rPr>
          <w:rFonts w:ascii="Arial" w:eastAsia="Calibri" w:hAnsi="Arial" w:cs="Arial"/>
          <w:sz w:val="24"/>
          <w:szCs w:val="24"/>
        </w:rPr>
        <w:t>”</w:t>
      </w:r>
      <w:r w:rsidRPr="00297143">
        <w:rPr>
          <w:rStyle w:val="Refdenotaalpie"/>
          <w:rFonts w:ascii="Arial" w:eastAsia="Calibri" w:hAnsi="Arial" w:cs="Arial"/>
          <w:sz w:val="24"/>
          <w:szCs w:val="24"/>
        </w:rPr>
        <w:footnoteReference w:id="4"/>
      </w:r>
      <w:r w:rsidRPr="00297143">
        <w:rPr>
          <w:rFonts w:ascii="Arial" w:eastAsia="Calibri" w:hAnsi="Arial" w:cs="Arial"/>
          <w:sz w:val="24"/>
          <w:szCs w:val="24"/>
        </w:rPr>
        <w:t xml:space="preserve">. </w:t>
      </w:r>
    </w:p>
    <w:p w14:paraId="64FD2D65" w14:textId="77777777" w:rsidR="004804FE" w:rsidRPr="0040154C" w:rsidRDefault="004804FE" w:rsidP="00C36793">
      <w:pPr>
        <w:spacing w:after="0" w:line="276" w:lineRule="auto"/>
        <w:jc w:val="both"/>
        <w:rPr>
          <w:rFonts w:ascii="Arial" w:eastAsia="Calibri" w:hAnsi="Arial" w:cs="Arial"/>
          <w:b/>
          <w:bCs/>
          <w:sz w:val="24"/>
          <w:szCs w:val="24"/>
        </w:rPr>
      </w:pPr>
    </w:p>
    <w:p w14:paraId="72290EE4" w14:textId="0B7A5558" w:rsidR="00036395" w:rsidRPr="00297143" w:rsidRDefault="007E1A6B" w:rsidP="00C36793">
      <w:pPr>
        <w:spacing w:after="0" w:line="276" w:lineRule="auto"/>
        <w:jc w:val="both"/>
        <w:rPr>
          <w:rFonts w:ascii="Arial" w:eastAsia="Calibri" w:hAnsi="Arial" w:cs="Arial"/>
          <w:sz w:val="24"/>
          <w:szCs w:val="24"/>
        </w:rPr>
      </w:pPr>
      <w:r>
        <w:rPr>
          <w:rFonts w:ascii="Arial" w:eastAsia="Calibri" w:hAnsi="Arial" w:cs="Arial"/>
          <w:b/>
          <w:bCs/>
          <w:sz w:val="24"/>
          <w:szCs w:val="24"/>
        </w:rPr>
        <w:t>QUINTA</w:t>
      </w:r>
      <w:r w:rsidR="0040154C" w:rsidRPr="0040154C">
        <w:rPr>
          <w:rFonts w:ascii="Arial" w:eastAsia="Calibri" w:hAnsi="Arial" w:cs="Arial"/>
          <w:b/>
          <w:bCs/>
          <w:sz w:val="24"/>
          <w:szCs w:val="24"/>
        </w:rPr>
        <w:t>.</w:t>
      </w:r>
      <w:r w:rsidR="0040154C">
        <w:rPr>
          <w:rFonts w:ascii="Arial" w:eastAsia="Calibri" w:hAnsi="Arial" w:cs="Arial"/>
          <w:sz w:val="24"/>
          <w:szCs w:val="24"/>
        </w:rPr>
        <w:t xml:space="preserve"> </w:t>
      </w:r>
      <w:r w:rsidR="00036395" w:rsidRPr="0040154C">
        <w:rPr>
          <w:rFonts w:ascii="Arial" w:eastAsia="Calibri" w:hAnsi="Arial" w:cs="Arial"/>
          <w:sz w:val="24"/>
          <w:szCs w:val="24"/>
        </w:rPr>
        <w:t>L</w:t>
      </w:r>
      <w:r w:rsidR="0040154C" w:rsidRPr="0040154C">
        <w:rPr>
          <w:rFonts w:ascii="Arial" w:eastAsia="Calibri" w:hAnsi="Arial" w:cs="Arial"/>
          <w:sz w:val="24"/>
          <w:szCs w:val="24"/>
        </w:rPr>
        <w:t>a</w:t>
      </w:r>
      <w:r w:rsidR="00036395" w:rsidRPr="0040154C">
        <w:rPr>
          <w:rFonts w:ascii="Arial" w:eastAsia="Calibri" w:hAnsi="Arial" w:cs="Arial"/>
          <w:sz w:val="24"/>
          <w:szCs w:val="24"/>
        </w:rPr>
        <w:t xml:space="preserve"> </w:t>
      </w:r>
      <w:r w:rsidR="0040154C">
        <w:rPr>
          <w:rFonts w:ascii="Arial" w:eastAsia="Calibri" w:hAnsi="Arial" w:cs="Arial"/>
          <w:sz w:val="24"/>
          <w:szCs w:val="24"/>
        </w:rPr>
        <w:t>Or</w:t>
      </w:r>
      <w:r w:rsidR="0040154C" w:rsidRPr="0040154C">
        <w:rPr>
          <w:rFonts w:ascii="Arial" w:eastAsia="Calibri" w:hAnsi="Arial" w:cs="Arial"/>
          <w:sz w:val="24"/>
          <w:szCs w:val="24"/>
        </w:rPr>
        <w:t xml:space="preserve">ganización de las </w:t>
      </w:r>
      <w:r w:rsidR="0040154C">
        <w:rPr>
          <w:rFonts w:ascii="Arial" w:eastAsia="Calibri" w:hAnsi="Arial" w:cs="Arial"/>
          <w:sz w:val="24"/>
          <w:szCs w:val="24"/>
        </w:rPr>
        <w:t>N</w:t>
      </w:r>
      <w:r w:rsidR="0040154C" w:rsidRPr="0040154C">
        <w:rPr>
          <w:rFonts w:ascii="Arial" w:eastAsia="Calibri" w:hAnsi="Arial" w:cs="Arial"/>
          <w:sz w:val="24"/>
          <w:szCs w:val="24"/>
        </w:rPr>
        <w:t xml:space="preserve">aciones </w:t>
      </w:r>
      <w:r w:rsidR="0040154C">
        <w:rPr>
          <w:rFonts w:ascii="Arial" w:eastAsia="Calibri" w:hAnsi="Arial" w:cs="Arial"/>
          <w:sz w:val="24"/>
          <w:szCs w:val="24"/>
        </w:rPr>
        <w:t>U</w:t>
      </w:r>
      <w:r w:rsidR="0040154C" w:rsidRPr="0040154C">
        <w:rPr>
          <w:rFonts w:ascii="Arial" w:eastAsia="Calibri" w:hAnsi="Arial" w:cs="Arial"/>
          <w:sz w:val="24"/>
          <w:szCs w:val="24"/>
        </w:rPr>
        <w:t>nidas,</w:t>
      </w:r>
      <w:r w:rsidR="00A61390" w:rsidRPr="00297143">
        <w:rPr>
          <w:rFonts w:ascii="Arial" w:eastAsia="Calibri" w:hAnsi="Arial" w:cs="Arial"/>
          <w:sz w:val="24"/>
          <w:szCs w:val="24"/>
        </w:rPr>
        <w:t xml:space="preserve"> </w:t>
      </w:r>
      <w:r w:rsidR="007C6ABD" w:rsidRPr="00297143">
        <w:rPr>
          <w:rFonts w:ascii="Arial" w:eastAsia="Calibri" w:hAnsi="Arial" w:cs="Arial"/>
          <w:sz w:val="24"/>
          <w:szCs w:val="24"/>
        </w:rPr>
        <w:t>establece</w:t>
      </w:r>
      <w:r w:rsidR="00036395" w:rsidRPr="00297143">
        <w:rPr>
          <w:rFonts w:ascii="Arial" w:eastAsia="Calibri" w:hAnsi="Arial" w:cs="Arial"/>
          <w:sz w:val="24"/>
          <w:szCs w:val="24"/>
        </w:rPr>
        <w:t xml:space="preserve"> la edad de 60 años para considerar que una persona es adulta mayor en los países en desarrollo, mientras que en los países desarrollados la vejez empieza a los 65 años.</w:t>
      </w:r>
      <w:r w:rsidR="00C63697" w:rsidRPr="00297143">
        <w:rPr>
          <w:rFonts w:ascii="Arial" w:eastAsia="Calibri" w:hAnsi="Arial" w:cs="Arial"/>
          <w:sz w:val="24"/>
          <w:szCs w:val="24"/>
        </w:rPr>
        <w:t xml:space="preserve"> </w:t>
      </w:r>
      <w:r w:rsidR="00036395" w:rsidRPr="00297143">
        <w:rPr>
          <w:rFonts w:ascii="Arial" w:eastAsia="Calibri" w:hAnsi="Arial" w:cs="Arial"/>
          <w:sz w:val="24"/>
          <w:szCs w:val="24"/>
        </w:rPr>
        <w:t xml:space="preserve">La </w:t>
      </w:r>
      <w:r w:rsidR="00C63697" w:rsidRPr="00297143">
        <w:rPr>
          <w:rFonts w:ascii="Arial" w:eastAsia="Calibri" w:hAnsi="Arial" w:cs="Arial"/>
          <w:sz w:val="24"/>
          <w:szCs w:val="24"/>
        </w:rPr>
        <w:t>C</w:t>
      </w:r>
      <w:r w:rsidR="00036395" w:rsidRPr="00297143">
        <w:rPr>
          <w:rFonts w:ascii="Arial" w:eastAsia="Calibri" w:hAnsi="Arial" w:cs="Arial"/>
          <w:sz w:val="24"/>
          <w:szCs w:val="24"/>
        </w:rPr>
        <w:t xml:space="preserve">omunidad </w:t>
      </w:r>
      <w:r w:rsidR="00C63697" w:rsidRPr="00297143">
        <w:rPr>
          <w:rFonts w:ascii="Arial" w:eastAsia="Calibri" w:hAnsi="Arial" w:cs="Arial"/>
          <w:sz w:val="24"/>
          <w:szCs w:val="24"/>
        </w:rPr>
        <w:t>I</w:t>
      </w:r>
      <w:r w:rsidR="00036395" w:rsidRPr="00297143">
        <w:rPr>
          <w:rFonts w:ascii="Arial" w:eastAsia="Calibri" w:hAnsi="Arial" w:cs="Arial"/>
          <w:sz w:val="24"/>
          <w:szCs w:val="24"/>
        </w:rPr>
        <w:t xml:space="preserve">nternacional reconoce los derechos de las personas adultas mayores en el Plan de Acción Internacional de Viena sobre el Envejecimiento, aprobado en la Asamblea Mundial sobre el Envejecimiento, celebrada en 1982, así se crearon los </w:t>
      </w:r>
      <w:r w:rsidR="00036395" w:rsidRPr="00297143">
        <w:rPr>
          <w:rFonts w:ascii="Arial" w:eastAsia="Calibri" w:hAnsi="Arial" w:cs="Arial"/>
          <w:b/>
          <w:bCs/>
          <w:sz w:val="24"/>
          <w:szCs w:val="24"/>
        </w:rPr>
        <w:t>Principios de las Naciones Unidas en favor de las Personas de Edad, aprobados en 1991; los Objetivos mundiales sobre el envejecimiento para el año 2001, fijados en 1992</w:t>
      </w:r>
      <w:r w:rsidR="009D52FA">
        <w:rPr>
          <w:rFonts w:ascii="Arial" w:eastAsia="Calibri" w:hAnsi="Arial" w:cs="Arial"/>
          <w:b/>
          <w:bCs/>
          <w:sz w:val="24"/>
          <w:szCs w:val="24"/>
        </w:rPr>
        <w:t>,</w:t>
      </w:r>
      <w:r w:rsidR="00036395" w:rsidRPr="00297143">
        <w:rPr>
          <w:rFonts w:ascii="Arial" w:eastAsia="Calibri" w:hAnsi="Arial" w:cs="Arial"/>
          <w:b/>
          <w:bCs/>
          <w:sz w:val="24"/>
          <w:szCs w:val="24"/>
        </w:rPr>
        <w:t xml:space="preserve"> y la Proclamación sobre el Envejecimiento del mismo año</w:t>
      </w:r>
      <w:r w:rsidR="00036395" w:rsidRPr="00297143">
        <w:rPr>
          <w:rFonts w:ascii="Arial" w:eastAsia="Calibri" w:hAnsi="Arial" w:cs="Arial"/>
          <w:sz w:val="24"/>
          <w:szCs w:val="24"/>
        </w:rPr>
        <w:t xml:space="preserve">; todos ellos, fomentaron la conciencia internacional para el bienestar de las personas </w:t>
      </w:r>
      <w:r w:rsidR="00C63697" w:rsidRPr="00297143">
        <w:rPr>
          <w:rFonts w:ascii="Arial" w:eastAsia="Calibri" w:hAnsi="Arial" w:cs="Arial"/>
          <w:sz w:val="24"/>
          <w:szCs w:val="24"/>
        </w:rPr>
        <w:t>mayores.</w:t>
      </w:r>
    </w:p>
    <w:p w14:paraId="632BE947" w14:textId="435232DC" w:rsidR="00C63697" w:rsidRDefault="00C63697" w:rsidP="00C36793">
      <w:pPr>
        <w:spacing w:after="0" w:line="276" w:lineRule="auto"/>
        <w:jc w:val="both"/>
        <w:rPr>
          <w:rFonts w:ascii="Arial" w:eastAsia="Calibri" w:hAnsi="Arial" w:cs="Arial"/>
          <w:sz w:val="24"/>
          <w:szCs w:val="24"/>
        </w:rPr>
      </w:pPr>
    </w:p>
    <w:p w14:paraId="65246AFB" w14:textId="28BB7612" w:rsidR="006601F5" w:rsidRDefault="007E1A6B" w:rsidP="0040154C">
      <w:pPr>
        <w:pStyle w:val="Prrafodelista"/>
        <w:tabs>
          <w:tab w:val="left" w:pos="142"/>
        </w:tabs>
        <w:spacing w:after="0" w:line="276" w:lineRule="auto"/>
        <w:ind w:left="0"/>
        <w:jc w:val="both"/>
        <w:rPr>
          <w:rFonts w:ascii="Arial" w:eastAsia="Calibri" w:hAnsi="Arial" w:cs="Arial"/>
          <w:sz w:val="24"/>
          <w:szCs w:val="24"/>
        </w:rPr>
      </w:pPr>
      <w:r>
        <w:rPr>
          <w:rFonts w:ascii="Arial" w:eastAsia="Calibri" w:hAnsi="Arial" w:cs="Arial"/>
          <w:b/>
          <w:bCs/>
          <w:sz w:val="24"/>
          <w:szCs w:val="24"/>
        </w:rPr>
        <w:t>SEXTA</w:t>
      </w:r>
      <w:r w:rsidR="0040154C" w:rsidRPr="0040154C">
        <w:rPr>
          <w:rFonts w:ascii="Arial" w:eastAsia="Calibri" w:hAnsi="Arial" w:cs="Arial"/>
          <w:b/>
          <w:bCs/>
          <w:sz w:val="24"/>
          <w:szCs w:val="24"/>
        </w:rPr>
        <w:t>.</w:t>
      </w:r>
      <w:r w:rsidR="0040154C">
        <w:rPr>
          <w:rFonts w:ascii="Arial" w:eastAsia="Calibri" w:hAnsi="Arial" w:cs="Arial"/>
          <w:sz w:val="24"/>
          <w:szCs w:val="24"/>
        </w:rPr>
        <w:t xml:space="preserve"> </w:t>
      </w:r>
      <w:r w:rsidR="009D52FA">
        <w:rPr>
          <w:rFonts w:ascii="Arial" w:eastAsia="Calibri" w:hAnsi="Arial" w:cs="Arial"/>
          <w:sz w:val="24"/>
          <w:szCs w:val="24"/>
        </w:rPr>
        <w:t>En concordancia con lo anterior,</w:t>
      </w:r>
      <w:r w:rsidR="006601F5" w:rsidRPr="00603E98">
        <w:rPr>
          <w:rFonts w:ascii="Arial" w:eastAsia="Calibri" w:hAnsi="Arial" w:cs="Arial"/>
          <w:sz w:val="24"/>
          <w:szCs w:val="24"/>
        </w:rPr>
        <w:t xml:space="preserve"> en 2015, en el seno de la OEA se apr</w:t>
      </w:r>
      <w:r w:rsidR="009D52FA">
        <w:rPr>
          <w:rFonts w:ascii="Arial" w:eastAsia="Calibri" w:hAnsi="Arial" w:cs="Arial"/>
          <w:sz w:val="24"/>
          <w:szCs w:val="24"/>
        </w:rPr>
        <w:t>obó,</w:t>
      </w:r>
      <w:r w:rsidR="006601F5" w:rsidRPr="00603E98">
        <w:rPr>
          <w:rFonts w:ascii="Arial" w:eastAsia="Calibri" w:hAnsi="Arial" w:cs="Arial"/>
          <w:sz w:val="24"/>
          <w:szCs w:val="24"/>
        </w:rPr>
        <w:t xml:space="preserve"> luego de seis años de negociación,</w:t>
      </w:r>
      <w:r w:rsidR="006601F5" w:rsidRPr="00603E98">
        <w:rPr>
          <w:rFonts w:ascii="Arial" w:eastAsia="Calibri" w:hAnsi="Arial" w:cs="Arial"/>
          <w:b/>
          <w:bCs/>
          <w:sz w:val="24"/>
          <w:szCs w:val="24"/>
        </w:rPr>
        <w:t xml:space="preserve"> el único instrumento interamericano, y el primero a nivel internacional</w:t>
      </w:r>
      <w:r w:rsidR="006601F5" w:rsidRPr="00603E98">
        <w:rPr>
          <w:rFonts w:ascii="Arial" w:eastAsia="Calibri" w:hAnsi="Arial" w:cs="Arial"/>
          <w:sz w:val="24"/>
          <w:szCs w:val="24"/>
        </w:rPr>
        <w:t xml:space="preserve">, para proteger los derechos de las personas mayores, que van desde; lo civil, político, económico, social y cultural. La esencia de la Convención, como primer instrumento jurídicamente vinculante del mundo, es promover, proteger y asegurar el reconocimiento y el pleno goce y ejercicio, en condiciones de igualdad, de todos los derechos humanos y libertades fundamentales de la persona mayor, y contribuir a su inclusión, integración y participación en la sociedad. </w:t>
      </w:r>
      <w:r w:rsidR="009D52FA">
        <w:rPr>
          <w:rFonts w:ascii="Arial" w:eastAsia="Calibri" w:hAnsi="Arial" w:cs="Arial"/>
          <w:sz w:val="24"/>
          <w:szCs w:val="24"/>
        </w:rPr>
        <w:t>Dicho instrumento internacional s</w:t>
      </w:r>
      <w:r w:rsidR="006601F5" w:rsidRPr="00603E98">
        <w:rPr>
          <w:rFonts w:ascii="Arial" w:eastAsia="Calibri" w:hAnsi="Arial" w:cs="Arial"/>
          <w:sz w:val="24"/>
          <w:szCs w:val="24"/>
        </w:rPr>
        <w:t>e firm</w:t>
      </w:r>
      <w:r w:rsidR="009D52FA">
        <w:rPr>
          <w:rFonts w:ascii="Arial" w:eastAsia="Calibri" w:hAnsi="Arial" w:cs="Arial"/>
          <w:sz w:val="24"/>
          <w:szCs w:val="24"/>
        </w:rPr>
        <w:t>ó</w:t>
      </w:r>
      <w:r w:rsidR="006601F5" w:rsidRPr="00603E98">
        <w:rPr>
          <w:rFonts w:ascii="Arial" w:eastAsia="Calibri" w:hAnsi="Arial" w:cs="Arial"/>
          <w:sz w:val="24"/>
          <w:szCs w:val="24"/>
        </w:rPr>
        <w:t xml:space="preserve"> de forma inmediata por los Gobiernos de la Argentina, Bolivia, Brasil, Chile, Costa Rica, Ecuador, El Salvador y Uruguay</w:t>
      </w:r>
      <w:r w:rsidR="006601F5" w:rsidRPr="00297143">
        <w:rPr>
          <w:rStyle w:val="Refdenotaalpie"/>
          <w:rFonts w:ascii="Arial" w:eastAsia="Calibri" w:hAnsi="Arial" w:cs="Arial"/>
          <w:sz w:val="24"/>
          <w:szCs w:val="24"/>
        </w:rPr>
        <w:footnoteReference w:id="5"/>
      </w:r>
      <w:r w:rsidR="006601F5" w:rsidRPr="00603E98">
        <w:rPr>
          <w:rFonts w:ascii="Arial" w:eastAsia="Calibri" w:hAnsi="Arial" w:cs="Arial"/>
          <w:sz w:val="24"/>
          <w:szCs w:val="24"/>
        </w:rPr>
        <w:t>.</w:t>
      </w:r>
    </w:p>
    <w:p w14:paraId="60F3B2A7" w14:textId="77777777" w:rsidR="006601F5" w:rsidRDefault="006601F5" w:rsidP="0040154C">
      <w:pPr>
        <w:pStyle w:val="Prrafodelista"/>
        <w:tabs>
          <w:tab w:val="left" w:pos="142"/>
        </w:tabs>
        <w:spacing w:after="0" w:line="276" w:lineRule="auto"/>
        <w:ind w:left="0"/>
        <w:jc w:val="both"/>
        <w:rPr>
          <w:rFonts w:ascii="Arial" w:eastAsia="Calibri" w:hAnsi="Arial" w:cs="Arial"/>
          <w:sz w:val="24"/>
          <w:szCs w:val="24"/>
        </w:rPr>
      </w:pPr>
    </w:p>
    <w:p w14:paraId="361D7CF2" w14:textId="77777777" w:rsidR="009D52FA" w:rsidRDefault="009D52FA" w:rsidP="0040154C">
      <w:pPr>
        <w:pStyle w:val="Prrafodelista"/>
        <w:tabs>
          <w:tab w:val="left" w:pos="142"/>
        </w:tabs>
        <w:spacing w:after="0" w:line="276" w:lineRule="auto"/>
        <w:ind w:left="0"/>
        <w:jc w:val="both"/>
        <w:rPr>
          <w:rFonts w:ascii="Arial" w:eastAsia="Calibri" w:hAnsi="Arial" w:cs="Arial"/>
          <w:b/>
          <w:bCs/>
          <w:sz w:val="24"/>
          <w:szCs w:val="24"/>
        </w:rPr>
      </w:pPr>
    </w:p>
    <w:p w14:paraId="7BD3D40F" w14:textId="7F2945A1" w:rsidR="00036395" w:rsidRPr="006F48F8" w:rsidRDefault="007E1A6B" w:rsidP="0040154C">
      <w:pPr>
        <w:pStyle w:val="Prrafodelista"/>
        <w:tabs>
          <w:tab w:val="left" w:pos="142"/>
        </w:tabs>
        <w:spacing w:after="0" w:line="276" w:lineRule="auto"/>
        <w:ind w:left="0"/>
        <w:jc w:val="both"/>
        <w:rPr>
          <w:rFonts w:ascii="Arial" w:eastAsia="Calibri" w:hAnsi="Arial" w:cs="Arial"/>
          <w:b/>
          <w:sz w:val="24"/>
          <w:szCs w:val="24"/>
        </w:rPr>
      </w:pPr>
      <w:r>
        <w:rPr>
          <w:rFonts w:ascii="Arial" w:eastAsia="Calibri" w:hAnsi="Arial" w:cs="Arial"/>
          <w:b/>
          <w:bCs/>
          <w:sz w:val="24"/>
          <w:szCs w:val="24"/>
        </w:rPr>
        <w:lastRenderedPageBreak/>
        <w:t>SÉPTIMA</w:t>
      </w:r>
      <w:r w:rsidR="002B626D" w:rsidRPr="002B626D">
        <w:rPr>
          <w:rFonts w:ascii="Arial" w:eastAsia="Calibri" w:hAnsi="Arial" w:cs="Arial"/>
          <w:b/>
          <w:bCs/>
          <w:sz w:val="24"/>
          <w:szCs w:val="24"/>
        </w:rPr>
        <w:t xml:space="preserve">. </w:t>
      </w:r>
      <w:r w:rsidR="00C63697" w:rsidRPr="00297143">
        <w:rPr>
          <w:rFonts w:ascii="Arial" w:eastAsia="Calibri" w:hAnsi="Arial" w:cs="Arial"/>
          <w:sz w:val="24"/>
          <w:szCs w:val="24"/>
        </w:rPr>
        <w:t>E</w:t>
      </w:r>
      <w:r w:rsidR="00036395" w:rsidRPr="00297143">
        <w:rPr>
          <w:rFonts w:ascii="Arial" w:eastAsia="Calibri" w:hAnsi="Arial" w:cs="Arial"/>
          <w:sz w:val="24"/>
          <w:szCs w:val="24"/>
        </w:rPr>
        <w:t xml:space="preserve">n México </w:t>
      </w:r>
      <w:r w:rsidR="00036395" w:rsidRPr="006F48F8">
        <w:rPr>
          <w:rFonts w:ascii="Arial" w:eastAsia="Calibri" w:hAnsi="Arial" w:cs="Arial"/>
          <w:b/>
          <w:sz w:val="24"/>
          <w:szCs w:val="24"/>
        </w:rPr>
        <w:t xml:space="preserve">se </w:t>
      </w:r>
      <w:r w:rsidR="004522A7" w:rsidRPr="006F48F8">
        <w:rPr>
          <w:rFonts w:ascii="Arial" w:eastAsia="Calibri" w:hAnsi="Arial" w:cs="Arial"/>
          <w:b/>
          <w:sz w:val="24"/>
          <w:szCs w:val="24"/>
        </w:rPr>
        <w:t>reconoc</w:t>
      </w:r>
      <w:r w:rsidR="00D136C1" w:rsidRPr="006F48F8">
        <w:rPr>
          <w:rFonts w:ascii="Arial" w:eastAsia="Calibri" w:hAnsi="Arial" w:cs="Arial"/>
          <w:b/>
          <w:sz w:val="24"/>
          <w:szCs w:val="24"/>
        </w:rPr>
        <w:t xml:space="preserve">en </w:t>
      </w:r>
      <w:r w:rsidR="004522A7" w:rsidRPr="006F48F8">
        <w:rPr>
          <w:rFonts w:ascii="Arial" w:eastAsia="Calibri" w:hAnsi="Arial" w:cs="Arial"/>
          <w:b/>
          <w:sz w:val="24"/>
          <w:szCs w:val="24"/>
        </w:rPr>
        <w:t xml:space="preserve">instrumentos </w:t>
      </w:r>
      <w:r w:rsidR="00036395" w:rsidRPr="006F48F8">
        <w:rPr>
          <w:rFonts w:ascii="Arial" w:eastAsia="Calibri" w:hAnsi="Arial" w:cs="Arial"/>
          <w:b/>
          <w:sz w:val="24"/>
          <w:szCs w:val="24"/>
        </w:rPr>
        <w:t>normativos</w:t>
      </w:r>
      <w:r w:rsidR="00A61390" w:rsidRPr="006F48F8">
        <w:rPr>
          <w:rFonts w:ascii="Arial" w:eastAsia="Calibri" w:hAnsi="Arial" w:cs="Arial"/>
          <w:b/>
          <w:sz w:val="24"/>
          <w:szCs w:val="24"/>
        </w:rPr>
        <w:t xml:space="preserve"> </w:t>
      </w:r>
      <w:r w:rsidR="00036395" w:rsidRPr="006F48F8">
        <w:rPr>
          <w:rFonts w:ascii="Arial" w:eastAsia="Calibri" w:hAnsi="Arial" w:cs="Arial"/>
          <w:b/>
          <w:sz w:val="24"/>
          <w:szCs w:val="24"/>
        </w:rPr>
        <w:t>nacionales e internacionales</w:t>
      </w:r>
      <w:r w:rsidR="00036395" w:rsidRPr="00297143">
        <w:rPr>
          <w:rFonts w:ascii="Arial" w:eastAsia="Calibri" w:hAnsi="Arial" w:cs="Arial"/>
          <w:sz w:val="24"/>
          <w:szCs w:val="24"/>
        </w:rPr>
        <w:t xml:space="preserve"> para la </w:t>
      </w:r>
      <w:r w:rsidR="004522A7" w:rsidRPr="00297143">
        <w:rPr>
          <w:rFonts w:ascii="Arial" w:eastAsia="Calibri" w:hAnsi="Arial" w:cs="Arial"/>
          <w:sz w:val="24"/>
          <w:szCs w:val="24"/>
        </w:rPr>
        <w:t>defensa</w:t>
      </w:r>
      <w:r w:rsidR="00036395" w:rsidRPr="00297143">
        <w:rPr>
          <w:rFonts w:ascii="Arial" w:eastAsia="Calibri" w:hAnsi="Arial" w:cs="Arial"/>
          <w:sz w:val="24"/>
          <w:szCs w:val="24"/>
        </w:rPr>
        <w:t xml:space="preserve"> de los derechos de las</w:t>
      </w:r>
      <w:r w:rsidR="00A61390" w:rsidRPr="00297143">
        <w:rPr>
          <w:rFonts w:ascii="Arial" w:eastAsia="Calibri" w:hAnsi="Arial" w:cs="Arial"/>
          <w:sz w:val="24"/>
          <w:szCs w:val="24"/>
        </w:rPr>
        <w:t xml:space="preserve"> </w:t>
      </w:r>
      <w:r w:rsidR="00036395" w:rsidRPr="00297143">
        <w:rPr>
          <w:rFonts w:ascii="Arial" w:eastAsia="Calibri" w:hAnsi="Arial" w:cs="Arial"/>
          <w:sz w:val="24"/>
          <w:szCs w:val="24"/>
        </w:rPr>
        <w:t>personas mayores de 60 años, tales como</w:t>
      </w:r>
      <w:r w:rsidR="00A61390" w:rsidRPr="00297143">
        <w:rPr>
          <w:rFonts w:ascii="Arial" w:eastAsia="Calibri" w:hAnsi="Arial" w:cs="Arial"/>
          <w:sz w:val="24"/>
          <w:szCs w:val="24"/>
        </w:rPr>
        <w:t>:</w:t>
      </w:r>
      <w:r w:rsidR="00036395" w:rsidRPr="00297143">
        <w:rPr>
          <w:rFonts w:ascii="Arial" w:eastAsia="Calibri" w:hAnsi="Arial" w:cs="Arial"/>
          <w:sz w:val="24"/>
          <w:szCs w:val="24"/>
        </w:rPr>
        <w:t xml:space="preserve"> </w:t>
      </w:r>
      <w:r w:rsidR="00036395" w:rsidRPr="006F48F8">
        <w:rPr>
          <w:rFonts w:ascii="Arial" w:eastAsia="Calibri" w:hAnsi="Arial" w:cs="Arial"/>
          <w:bCs/>
          <w:sz w:val="24"/>
          <w:szCs w:val="24"/>
        </w:rPr>
        <w:t>la Declaración Universal de los</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Derechos Humanos; la Convención Americana sobre Derechos Humanos; el</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Pacto Internacional de Derechos Económicos, Sociales y Culturales; el Pacto</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Internacional de Derechos Civiles y Políticos; la Recomendación 162 de la</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Organización Internacional del Trabajo (OIT) sobre los trabajadores de edad; el</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Protocolo de San Salvador; la Declaración sobre la Eliminación de la Violencia</w:t>
      </w:r>
      <w:r w:rsidR="00A61390" w:rsidRPr="006F48F8">
        <w:rPr>
          <w:rFonts w:ascii="Arial" w:eastAsia="Calibri" w:hAnsi="Arial" w:cs="Arial"/>
          <w:bCs/>
          <w:sz w:val="24"/>
          <w:szCs w:val="24"/>
        </w:rPr>
        <w:t xml:space="preserve"> </w:t>
      </w:r>
      <w:r w:rsidR="00036395" w:rsidRPr="006F48F8">
        <w:rPr>
          <w:rFonts w:ascii="Arial" w:eastAsia="Calibri" w:hAnsi="Arial" w:cs="Arial"/>
          <w:bCs/>
          <w:sz w:val="24"/>
          <w:szCs w:val="24"/>
        </w:rPr>
        <w:t>contra la Mujer; y la Ley de los Derechos de las Personas Adultas Mayores</w:t>
      </w:r>
      <w:r w:rsidR="009D52FA">
        <w:rPr>
          <w:rFonts w:ascii="Arial" w:eastAsia="Calibri" w:hAnsi="Arial" w:cs="Arial"/>
          <w:bCs/>
          <w:sz w:val="24"/>
          <w:szCs w:val="24"/>
        </w:rPr>
        <w:t>. S</w:t>
      </w:r>
      <w:r w:rsidR="00036395" w:rsidRPr="006F48F8">
        <w:rPr>
          <w:rFonts w:ascii="Arial" w:eastAsia="Calibri" w:hAnsi="Arial" w:cs="Arial"/>
          <w:sz w:val="24"/>
          <w:szCs w:val="24"/>
        </w:rPr>
        <w:t>in</w:t>
      </w:r>
      <w:r w:rsidR="00A61390" w:rsidRPr="006F48F8">
        <w:rPr>
          <w:rFonts w:ascii="Arial" w:eastAsia="Calibri" w:hAnsi="Arial" w:cs="Arial"/>
          <w:sz w:val="24"/>
          <w:szCs w:val="24"/>
        </w:rPr>
        <w:t xml:space="preserve"> </w:t>
      </w:r>
      <w:r w:rsidR="00036395" w:rsidRPr="006F48F8">
        <w:rPr>
          <w:rFonts w:ascii="Arial" w:eastAsia="Calibri" w:hAnsi="Arial" w:cs="Arial"/>
          <w:sz w:val="24"/>
          <w:szCs w:val="24"/>
        </w:rPr>
        <w:t xml:space="preserve">embargo, </w:t>
      </w:r>
      <w:r w:rsidR="00036395" w:rsidRPr="006F48F8">
        <w:rPr>
          <w:rFonts w:ascii="Arial" w:eastAsia="Calibri" w:hAnsi="Arial" w:cs="Arial"/>
          <w:bCs/>
          <w:sz w:val="24"/>
          <w:szCs w:val="24"/>
        </w:rPr>
        <w:t xml:space="preserve">aún </w:t>
      </w:r>
      <w:r w:rsidR="00036395" w:rsidRPr="006F48F8">
        <w:rPr>
          <w:rFonts w:ascii="Arial" w:eastAsia="Calibri" w:hAnsi="Arial" w:cs="Arial"/>
          <w:b/>
          <w:bCs/>
          <w:sz w:val="24"/>
          <w:szCs w:val="24"/>
        </w:rPr>
        <w:t>está</w:t>
      </w:r>
      <w:r w:rsidR="00F21AC4" w:rsidRPr="006F48F8">
        <w:rPr>
          <w:rFonts w:ascii="Arial" w:eastAsia="Calibri" w:hAnsi="Arial" w:cs="Arial"/>
          <w:b/>
          <w:bCs/>
          <w:sz w:val="24"/>
          <w:szCs w:val="24"/>
        </w:rPr>
        <w:t>n</w:t>
      </w:r>
      <w:r w:rsidR="00036395" w:rsidRPr="006F48F8">
        <w:rPr>
          <w:rFonts w:ascii="Arial" w:eastAsia="Calibri" w:hAnsi="Arial" w:cs="Arial"/>
          <w:b/>
          <w:bCs/>
          <w:sz w:val="24"/>
          <w:szCs w:val="24"/>
        </w:rPr>
        <w:t xml:space="preserve"> pendiente</w:t>
      </w:r>
      <w:r w:rsidR="00F21AC4" w:rsidRPr="006F48F8">
        <w:rPr>
          <w:rFonts w:ascii="Arial" w:eastAsia="Calibri" w:hAnsi="Arial" w:cs="Arial"/>
          <w:b/>
          <w:bCs/>
          <w:sz w:val="24"/>
          <w:szCs w:val="24"/>
        </w:rPr>
        <w:t>s</w:t>
      </w:r>
      <w:r w:rsidR="002B5536" w:rsidRPr="006F48F8">
        <w:rPr>
          <w:rFonts w:ascii="Arial" w:eastAsia="Calibri" w:hAnsi="Arial" w:cs="Arial"/>
          <w:b/>
          <w:bCs/>
          <w:sz w:val="24"/>
          <w:szCs w:val="24"/>
        </w:rPr>
        <w:t xml:space="preserve"> </w:t>
      </w:r>
      <w:r w:rsidR="00036395" w:rsidRPr="006F48F8">
        <w:rPr>
          <w:rFonts w:ascii="Arial" w:eastAsia="Calibri" w:hAnsi="Arial" w:cs="Arial"/>
          <w:b/>
          <w:bCs/>
          <w:sz w:val="24"/>
          <w:szCs w:val="24"/>
        </w:rPr>
        <w:t>la</w:t>
      </w:r>
      <w:r w:rsidR="00F21AC4" w:rsidRPr="006F48F8">
        <w:rPr>
          <w:rFonts w:ascii="Arial" w:eastAsia="Calibri" w:hAnsi="Arial" w:cs="Arial"/>
          <w:b/>
          <w:bCs/>
          <w:sz w:val="24"/>
          <w:szCs w:val="24"/>
        </w:rPr>
        <w:t xml:space="preserve"> </w:t>
      </w:r>
      <w:r w:rsidR="00F21AC4" w:rsidRPr="009D52FA">
        <w:rPr>
          <w:rFonts w:ascii="Arial" w:eastAsia="Calibri" w:hAnsi="Arial" w:cs="Arial"/>
          <w:b/>
          <w:bCs/>
          <w:sz w:val="24"/>
          <w:szCs w:val="24"/>
        </w:rPr>
        <w:t>“</w:t>
      </w:r>
      <w:r w:rsidR="009D52FA">
        <w:rPr>
          <w:rFonts w:ascii="Arial" w:eastAsia="Calibri" w:hAnsi="Arial" w:cs="Arial"/>
          <w:b/>
          <w:bCs/>
          <w:sz w:val="24"/>
          <w:szCs w:val="24"/>
          <w:u w:val="single"/>
        </w:rPr>
        <w:t>f</w:t>
      </w:r>
      <w:r w:rsidR="00F21AC4" w:rsidRPr="006F48F8">
        <w:rPr>
          <w:rFonts w:ascii="Arial" w:eastAsia="Calibri" w:hAnsi="Arial" w:cs="Arial"/>
          <w:b/>
          <w:bCs/>
          <w:sz w:val="24"/>
          <w:szCs w:val="24"/>
          <w:u w:val="single"/>
        </w:rPr>
        <w:t xml:space="preserve">irma y </w:t>
      </w:r>
      <w:r w:rsidR="009D52FA">
        <w:rPr>
          <w:rFonts w:ascii="Arial" w:eastAsia="Calibri" w:hAnsi="Arial" w:cs="Arial"/>
          <w:b/>
          <w:bCs/>
          <w:sz w:val="24"/>
          <w:szCs w:val="24"/>
          <w:u w:val="single"/>
        </w:rPr>
        <w:t>aprobación</w:t>
      </w:r>
      <w:r w:rsidR="004522A7" w:rsidRPr="009D52FA">
        <w:rPr>
          <w:rFonts w:ascii="Arial" w:eastAsia="Calibri" w:hAnsi="Arial" w:cs="Arial"/>
          <w:b/>
          <w:bCs/>
          <w:sz w:val="24"/>
          <w:szCs w:val="24"/>
        </w:rPr>
        <w:t>”</w:t>
      </w:r>
      <w:r w:rsidR="009D52FA">
        <w:rPr>
          <w:rFonts w:ascii="Arial" w:eastAsia="Calibri" w:hAnsi="Arial" w:cs="Arial"/>
          <w:b/>
          <w:bCs/>
          <w:sz w:val="24"/>
          <w:szCs w:val="24"/>
        </w:rPr>
        <w:t>,</w:t>
      </w:r>
      <w:r w:rsidR="00036395" w:rsidRPr="006F48F8">
        <w:rPr>
          <w:rFonts w:ascii="Arial" w:eastAsia="Calibri" w:hAnsi="Arial" w:cs="Arial"/>
          <w:b/>
          <w:bCs/>
          <w:sz w:val="24"/>
          <w:szCs w:val="24"/>
        </w:rPr>
        <w:t xml:space="preserve"> </w:t>
      </w:r>
      <w:r w:rsidR="009D52FA">
        <w:rPr>
          <w:rFonts w:ascii="Arial" w:eastAsia="Calibri" w:hAnsi="Arial" w:cs="Arial"/>
          <w:b/>
          <w:bCs/>
          <w:sz w:val="24"/>
          <w:szCs w:val="24"/>
        </w:rPr>
        <w:t xml:space="preserve">por parte </w:t>
      </w:r>
      <w:r w:rsidR="009D52FA">
        <w:rPr>
          <w:rFonts w:ascii="Arial" w:eastAsia="Calibri" w:hAnsi="Arial" w:cs="Arial"/>
          <w:b/>
          <w:sz w:val="24"/>
          <w:szCs w:val="24"/>
        </w:rPr>
        <w:t>del Estado</w:t>
      </w:r>
      <w:r w:rsidR="00036395" w:rsidRPr="006F48F8">
        <w:rPr>
          <w:rFonts w:ascii="Arial" w:eastAsia="Calibri" w:hAnsi="Arial" w:cs="Arial"/>
          <w:b/>
          <w:sz w:val="24"/>
          <w:szCs w:val="24"/>
        </w:rPr>
        <w:t xml:space="preserve"> mexicano</w:t>
      </w:r>
      <w:r w:rsidR="009D52FA">
        <w:rPr>
          <w:rFonts w:ascii="Arial" w:eastAsia="Calibri" w:hAnsi="Arial" w:cs="Arial"/>
          <w:b/>
          <w:sz w:val="24"/>
          <w:szCs w:val="24"/>
        </w:rPr>
        <w:t>, de</w:t>
      </w:r>
      <w:r w:rsidR="00A61390" w:rsidRPr="006F48F8">
        <w:rPr>
          <w:rFonts w:ascii="Arial" w:eastAsia="Calibri" w:hAnsi="Arial" w:cs="Arial"/>
          <w:b/>
          <w:sz w:val="24"/>
          <w:szCs w:val="24"/>
        </w:rPr>
        <w:t xml:space="preserve"> </w:t>
      </w:r>
      <w:r w:rsidR="00036395" w:rsidRPr="006F48F8">
        <w:rPr>
          <w:rFonts w:ascii="Arial" w:eastAsia="Calibri" w:hAnsi="Arial" w:cs="Arial"/>
          <w:b/>
          <w:sz w:val="24"/>
          <w:szCs w:val="24"/>
        </w:rPr>
        <w:t xml:space="preserve">a la </w:t>
      </w:r>
      <w:r w:rsidR="00036395" w:rsidRPr="006F48F8">
        <w:rPr>
          <w:rFonts w:ascii="Arial" w:eastAsia="Calibri" w:hAnsi="Arial" w:cs="Arial"/>
          <w:b/>
          <w:bCs/>
          <w:sz w:val="24"/>
          <w:szCs w:val="24"/>
        </w:rPr>
        <w:t>Convención Interamerican</w:t>
      </w:r>
      <w:r w:rsidR="00A61390" w:rsidRPr="006F48F8">
        <w:rPr>
          <w:rFonts w:ascii="Arial" w:eastAsia="Calibri" w:hAnsi="Arial" w:cs="Arial"/>
          <w:b/>
          <w:bCs/>
          <w:sz w:val="24"/>
          <w:szCs w:val="24"/>
        </w:rPr>
        <w:t>a</w:t>
      </w:r>
      <w:r w:rsidR="00036395" w:rsidRPr="006F48F8">
        <w:rPr>
          <w:rFonts w:ascii="Arial" w:eastAsia="Calibri" w:hAnsi="Arial" w:cs="Arial"/>
          <w:b/>
          <w:bCs/>
          <w:sz w:val="24"/>
          <w:szCs w:val="24"/>
        </w:rPr>
        <w:t xml:space="preserve"> sobre la Protección de los Derechos Humanos</w:t>
      </w:r>
      <w:r w:rsidR="00A61390" w:rsidRPr="006F48F8">
        <w:rPr>
          <w:rFonts w:ascii="Arial" w:eastAsia="Calibri" w:hAnsi="Arial" w:cs="Arial"/>
          <w:b/>
          <w:bCs/>
          <w:sz w:val="24"/>
          <w:szCs w:val="24"/>
        </w:rPr>
        <w:t xml:space="preserve"> </w:t>
      </w:r>
      <w:r w:rsidR="00036395" w:rsidRPr="006F48F8">
        <w:rPr>
          <w:rFonts w:ascii="Arial" w:eastAsia="Calibri" w:hAnsi="Arial" w:cs="Arial"/>
          <w:b/>
          <w:bCs/>
          <w:sz w:val="24"/>
          <w:szCs w:val="24"/>
        </w:rPr>
        <w:t>de las Personas Mayores</w:t>
      </w:r>
      <w:r w:rsidR="00036395" w:rsidRPr="006F48F8">
        <w:rPr>
          <w:rFonts w:ascii="Arial" w:eastAsia="Calibri" w:hAnsi="Arial" w:cs="Arial"/>
          <w:b/>
          <w:sz w:val="24"/>
          <w:szCs w:val="24"/>
        </w:rPr>
        <w:t xml:space="preserve"> que la Organización de Estados Americanos </w:t>
      </w:r>
      <w:r w:rsidR="009D52FA">
        <w:rPr>
          <w:rFonts w:ascii="Arial" w:eastAsia="Calibri" w:hAnsi="Arial" w:cs="Arial"/>
          <w:b/>
          <w:sz w:val="24"/>
          <w:szCs w:val="24"/>
        </w:rPr>
        <w:t>adoptó</w:t>
      </w:r>
      <w:r w:rsidR="00F70C7B" w:rsidRPr="006F48F8">
        <w:rPr>
          <w:rFonts w:ascii="Arial" w:eastAsia="Calibri" w:hAnsi="Arial" w:cs="Arial"/>
          <w:b/>
          <w:sz w:val="24"/>
          <w:szCs w:val="24"/>
        </w:rPr>
        <w:t xml:space="preserve"> </w:t>
      </w:r>
      <w:r w:rsidR="00A61390" w:rsidRPr="006F48F8">
        <w:rPr>
          <w:rFonts w:ascii="Arial" w:eastAsia="Calibri" w:hAnsi="Arial" w:cs="Arial"/>
          <w:b/>
          <w:sz w:val="24"/>
          <w:szCs w:val="24"/>
        </w:rPr>
        <w:t>el 15 de</w:t>
      </w:r>
      <w:r w:rsidR="00036395" w:rsidRPr="006F48F8">
        <w:rPr>
          <w:rFonts w:ascii="Arial" w:eastAsia="Calibri" w:hAnsi="Arial" w:cs="Arial"/>
          <w:b/>
          <w:sz w:val="24"/>
          <w:szCs w:val="24"/>
        </w:rPr>
        <w:t xml:space="preserve"> junio de 2015</w:t>
      </w:r>
      <w:r w:rsidR="000723CA" w:rsidRPr="006F48F8">
        <w:rPr>
          <w:rFonts w:ascii="Arial" w:eastAsia="Calibri" w:hAnsi="Arial" w:cs="Arial"/>
          <w:b/>
          <w:sz w:val="24"/>
          <w:szCs w:val="24"/>
        </w:rPr>
        <w:t>.</w:t>
      </w:r>
      <w:r w:rsidR="00D41949" w:rsidRPr="006F48F8">
        <w:rPr>
          <w:rFonts w:ascii="Arial" w:eastAsia="Calibri" w:hAnsi="Arial" w:cs="Arial"/>
          <w:b/>
          <w:sz w:val="24"/>
          <w:szCs w:val="24"/>
        </w:rPr>
        <w:t xml:space="preserve"> </w:t>
      </w:r>
      <w:r w:rsidR="00F70C7B" w:rsidRPr="006F48F8">
        <w:rPr>
          <w:rFonts w:ascii="Arial" w:eastAsia="Calibri" w:hAnsi="Arial" w:cs="Arial"/>
          <w:b/>
          <w:sz w:val="24"/>
          <w:szCs w:val="24"/>
        </w:rPr>
        <w:t xml:space="preserve"> </w:t>
      </w:r>
    </w:p>
    <w:p w14:paraId="3C66005C" w14:textId="77777777" w:rsidR="002D3A84" w:rsidRPr="00297143" w:rsidRDefault="002D3A84" w:rsidP="00C36793">
      <w:pPr>
        <w:spacing w:after="0" w:line="276" w:lineRule="auto"/>
        <w:jc w:val="both"/>
        <w:rPr>
          <w:rFonts w:ascii="Arial" w:eastAsia="Calibri" w:hAnsi="Arial" w:cs="Arial"/>
          <w:sz w:val="24"/>
          <w:szCs w:val="24"/>
        </w:rPr>
      </w:pPr>
    </w:p>
    <w:p w14:paraId="5FDBA6AA" w14:textId="1482CAE5" w:rsidR="00603E98" w:rsidRDefault="007E1A6B" w:rsidP="002B626D">
      <w:pPr>
        <w:pStyle w:val="Prrafodelista"/>
        <w:tabs>
          <w:tab w:val="left" w:pos="142"/>
        </w:tabs>
        <w:spacing w:after="0" w:line="276" w:lineRule="auto"/>
        <w:ind w:left="0"/>
        <w:jc w:val="both"/>
        <w:rPr>
          <w:rFonts w:ascii="Arial" w:eastAsia="Calibri" w:hAnsi="Arial" w:cs="Arial"/>
          <w:sz w:val="24"/>
          <w:szCs w:val="24"/>
        </w:rPr>
      </w:pPr>
      <w:r>
        <w:rPr>
          <w:rFonts w:ascii="Arial" w:eastAsia="Calibri" w:hAnsi="Arial" w:cs="Arial"/>
          <w:b/>
          <w:bCs/>
          <w:sz w:val="24"/>
          <w:szCs w:val="24"/>
        </w:rPr>
        <w:t>OCTAVA</w:t>
      </w:r>
      <w:r w:rsidR="006601F5" w:rsidRPr="006601F5">
        <w:rPr>
          <w:rFonts w:ascii="Arial" w:eastAsia="Calibri" w:hAnsi="Arial" w:cs="Arial"/>
          <w:b/>
          <w:bCs/>
          <w:sz w:val="24"/>
          <w:szCs w:val="24"/>
        </w:rPr>
        <w:t>.</w:t>
      </w:r>
      <w:r w:rsidR="002B626D">
        <w:rPr>
          <w:rFonts w:ascii="Arial" w:eastAsia="Calibri" w:hAnsi="Arial" w:cs="Arial"/>
          <w:b/>
          <w:bCs/>
          <w:sz w:val="24"/>
          <w:szCs w:val="24"/>
        </w:rPr>
        <w:t xml:space="preserve"> </w:t>
      </w:r>
      <w:r w:rsidR="009D52FA" w:rsidRPr="009D52FA">
        <w:rPr>
          <w:rFonts w:ascii="Arial" w:eastAsia="Calibri" w:hAnsi="Arial" w:cs="Arial"/>
          <w:bCs/>
          <w:sz w:val="24"/>
          <w:szCs w:val="24"/>
        </w:rPr>
        <w:t>De igual manera, l</w:t>
      </w:r>
      <w:r w:rsidR="00925561" w:rsidRPr="00297143">
        <w:rPr>
          <w:rFonts w:ascii="Arial" w:eastAsia="Calibri" w:hAnsi="Arial" w:cs="Arial"/>
          <w:sz w:val="24"/>
          <w:szCs w:val="24"/>
        </w:rPr>
        <w:t xml:space="preserve">as </w:t>
      </w:r>
      <w:r w:rsidR="00603E98">
        <w:rPr>
          <w:rFonts w:ascii="Arial" w:eastAsia="Calibri" w:hAnsi="Arial" w:cs="Arial"/>
          <w:sz w:val="24"/>
          <w:szCs w:val="24"/>
        </w:rPr>
        <w:t>C</w:t>
      </w:r>
      <w:r w:rsidR="00925561" w:rsidRPr="00297143">
        <w:rPr>
          <w:rFonts w:ascii="Arial" w:eastAsia="Calibri" w:hAnsi="Arial" w:cs="Arial"/>
          <w:sz w:val="24"/>
          <w:szCs w:val="24"/>
        </w:rPr>
        <w:t>omisiones Nacional de Derechos Humanos (CNDH) y de la Ciudad de México</w:t>
      </w:r>
      <w:r w:rsidR="00603E98">
        <w:rPr>
          <w:rFonts w:ascii="Arial" w:eastAsia="Calibri" w:hAnsi="Arial" w:cs="Arial"/>
          <w:sz w:val="24"/>
          <w:szCs w:val="24"/>
        </w:rPr>
        <w:t>,</w:t>
      </w:r>
      <w:r w:rsidR="00925561" w:rsidRPr="00297143">
        <w:rPr>
          <w:rFonts w:ascii="Arial" w:eastAsia="Calibri" w:hAnsi="Arial" w:cs="Arial"/>
          <w:sz w:val="24"/>
          <w:szCs w:val="24"/>
        </w:rPr>
        <w:t xml:space="preserve"> </w:t>
      </w:r>
      <w:r w:rsidR="00603E98">
        <w:rPr>
          <w:rFonts w:ascii="Arial" w:eastAsia="Calibri" w:hAnsi="Arial" w:cs="Arial"/>
          <w:sz w:val="24"/>
          <w:szCs w:val="24"/>
        </w:rPr>
        <w:t xml:space="preserve">han urgido </w:t>
      </w:r>
      <w:r w:rsidR="00925561" w:rsidRPr="00297143">
        <w:rPr>
          <w:rFonts w:ascii="Arial" w:eastAsia="Calibri" w:hAnsi="Arial" w:cs="Arial"/>
          <w:sz w:val="24"/>
          <w:szCs w:val="24"/>
        </w:rPr>
        <w:t>al E</w:t>
      </w:r>
      <w:r w:rsidR="00603E98">
        <w:rPr>
          <w:rFonts w:ascii="Arial" w:eastAsia="Calibri" w:hAnsi="Arial" w:cs="Arial"/>
          <w:sz w:val="24"/>
          <w:szCs w:val="24"/>
        </w:rPr>
        <w:t xml:space="preserve">jecutivo Federal </w:t>
      </w:r>
      <w:r w:rsidR="00925561" w:rsidRPr="00297143">
        <w:rPr>
          <w:rFonts w:ascii="Arial" w:eastAsia="Calibri" w:hAnsi="Arial" w:cs="Arial"/>
          <w:sz w:val="24"/>
          <w:szCs w:val="24"/>
        </w:rPr>
        <w:t xml:space="preserve">a ratificar la Convención </w:t>
      </w:r>
      <w:r w:rsidR="00932BDF" w:rsidRPr="00297143">
        <w:rPr>
          <w:rFonts w:ascii="Arial" w:eastAsia="Calibri" w:hAnsi="Arial" w:cs="Arial"/>
          <w:sz w:val="24"/>
          <w:szCs w:val="24"/>
        </w:rPr>
        <w:t xml:space="preserve">para </w:t>
      </w:r>
      <w:r w:rsidR="00925561" w:rsidRPr="00297143">
        <w:rPr>
          <w:rFonts w:ascii="Arial" w:eastAsia="Calibri" w:hAnsi="Arial" w:cs="Arial"/>
          <w:sz w:val="24"/>
          <w:szCs w:val="24"/>
        </w:rPr>
        <w:t xml:space="preserve">garantizar la inclusión, respeto, la no discriminación y la no violencia, </w:t>
      </w:r>
      <w:r w:rsidR="00603E98">
        <w:rPr>
          <w:rFonts w:ascii="Arial" w:eastAsia="Calibri" w:hAnsi="Arial" w:cs="Arial"/>
          <w:sz w:val="24"/>
          <w:szCs w:val="24"/>
        </w:rPr>
        <w:t xml:space="preserve">de </w:t>
      </w:r>
      <w:r w:rsidR="00925561" w:rsidRPr="00297143">
        <w:rPr>
          <w:rFonts w:ascii="Arial" w:eastAsia="Calibri" w:hAnsi="Arial" w:cs="Arial"/>
          <w:sz w:val="24"/>
          <w:szCs w:val="24"/>
        </w:rPr>
        <w:t>este sector</w:t>
      </w:r>
      <w:r w:rsidR="00603E98">
        <w:rPr>
          <w:rFonts w:ascii="Arial" w:eastAsia="Calibri" w:hAnsi="Arial" w:cs="Arial"/>
          <w:sz w:val="24"/>
          <w:szCs w:val="24"/>
        </w:rPr>
        <w:t xml:space="preserve"> vulnerable</w:t>
      </w:r>
      <w:r w:rsidR="00925561" w:rsidRPr="00297143">
        <w:rPr>
          <w:rFonts w:ascii="Arial" w:eastAsia="Calibri" w:hAnsi="Arial" w:cs="Arial"/>
          <w:sz w:val="24"/>
          <w:szCs w:val="24"/>
        </w:rPr>
        <w:t xml:space="preserve">, que representa </w:t>
      </w:r>
      <w:r w:rsidR="004948E0">
        <w:rPr>
          <w:rFonts w:ascii="Arial" w:eastAsia="Calibri" w:hAnsi="Arial" w:cs="Arial"/>
          <w:sz w:val="24"/>
          <w:szCs w:val="24"/>
        </w:rPr>
        <w:t xml:space="preserve">actualmente el </w:t>
      </w:r>
      <w:r w:rsidR="00925561" w:rsidRPr="00297143">
        <w:rPr>
          <w:rFonts w:ascii="Arial" w:eastAsia="Calibri" w:hAnsi="Arial" w:cs="Arial"/>
          <w:sz w:val="24"/>
          <w:szCs w:val="24"/>
        </w:rPr>
        <w:t>ocho por ciento de la población.</w:t>
      </w:r>
    </w:p>
    <w:p w14:paraId="32BFD951" w14:textId="77777777" w:rsidR="00D51F66" w:rsidRPr="002B7C05" w:rsidRDefault="00D51F66" w:rsidP="00C36793">
      <w:pPr>
        <w:spacing w:after="0" w:line="276" w:lineRule="auto"/>
        <w:jc w:val="both"/>
        <w:rPr>
          <w:rFonts w:ascii="Arial" w:eastAsia="Calibri" w:hAnsi="Arial" w:cs="Arial"/>
          <w:b/>
          <w:bCs/>
          <w:sz w:val="24"/>
          <w:szCs w:val="24"/>
        </w:rPr>
      </w:pPr>
    </w:p>
    <w:p w14:paraId="7FF98A37" w14:textId="5271277B" w:rsidR="007E1A6B" w:rsidRDefault="00603E98" w:rsidP="007E1A6B">
      <w:pPr>
        <w:spacing w:after="0" w:line="276" w:lineRule="auto"/>
        <w:jc w:val="both"/>
        <w:rPr>
          <w:rFonts w:ascii="Arial" w:eastAsia="Calibri" w:hAnsi="Arial" w:cs="Arial"/>
          <w:sz w:val="24"/>
          <w:szCs w:val="24"/>
        </w:rPr>
      </w:pPr>
      <w:r>
        <w:rPr>
          <w:rFonts w:ascii="Arial" w:eastAsia="Calibri" w:hAnsi="Arial" w:cs="Arial"/>
          <w:sz w:val="24"/>
          <w:szCs w:val="24"/>
        </w:rPr>
        <w:t>L</w:t>
      </w:r>
      <w:r w:rsidR="00925561" w:rsidRPr="00297143">
        <w:rPr>
          <w:rFonts w:ascii="Arial" w:eastAsia="Calibri" w:hAnsi="Arial" w:cs="Arial"/>
          <w:sz w:val="24"/>
          <w:szCs w:val="24"/>
        </w:rPr>
        <w:t xml:space="preserve">a CNDH, </w:t>
      </w:r>
      <w:r w:rsidR="00932BDF" w:rsidRPr="00297143">
        <w:rPr>
          <w:rFonts w:ascii="Arial" w:eastAsia="Calibri" w:hAnsi="Arial" w:cs="Arial"/>
          <w:sz w:val="24"/>
          <w:szCs w:val="24"/>
        </w:rPr>
        <w:t>i</w:t>
      </w:r>
      <w:r w:rsidR="00925561" w:rsidRPr="00297143">
        <w:rPr>
          <w:rFonts w:ascii="Arial" w:eastAsia="Calibri" w:hAnsi="Arial" w:cs="Arial"/>
          <w:sz w:val="24"/>
          <w:szCs w:val="24"/>
        </w:rPr>
        <w:t>ndic</w:t>
      </w:r>
      <w:r w:rsidR="00932BDF" w:rsidRPr="00297143">
        <w:rPr>
          <w:rFonts w:ascii="Arial" w:eastAsia="Calibri" w:hAnsi="Arial" w:cs="Arial"/>
          <w:sz w:val="24"/>
          <w:szCs w:val="24"/>
        </w:rPr>
        <w:t>o</w:t>
      </w:r>
      <w:r w:rsidR="00925561" w:rsidRPr="00297143">
        <w:rPr>
          <w:rFonts w:ascii="Arial" w:eastAsia="Calibri" w:hAnsi="Arial" w:cs="Arial"/>
          <w:sz w:val="24"/>
          <w:szCs w:val="24"/>
        </w:rPr>
        <w:t xml:space="preserve"> que 61</w:t>
      </w:r>
      <w:r>
        <w:rPr>
          <w:rFonts w:ascii="Arial" w:eastAsia="Calibri" w:hAnsi="Arial" w:cs="Arial"/>
          <w:sz w:val="24"/>
          <w:szCs w:val="24"/>
        </w:rPr>
        <w:t>%</w:t>
      </w:r>
      <w:r w:rsidR="00925561" w:rsidRPr="00297143">
        <w:rPr>
          <w:rFonts w:ascii="Arial" w:eastAsia="Calibri" w:hAnsi="Arial" w:cs="Arial"/>
          <w:sz w:val="24"/>
          <w:szCs w:val="24"/>
        </w:rPr>
        <w:t xml:space="preserve"> de las personas mayores de 65 años viven en situación de pobreza, de éstos</w:t>
      </w:r>
      <w:r w:rsidR="004948E0">
        <w:rPr>
          <w:rFonts w:ascii="Arial" w:eastAsia="Calibri" w:hAnsi="Arial" w:cs="Arial"/>
          <w:sz w:val="24"/>
          <w:szCs w:val="24"/>
        </w:rPr>
        <w:t>, el</w:t>
      </w:r>
      <w:r w:rsidR="00925561" w:rsidRPr="00297143">
        <w:rPr>
          <w:rFonts w:ascii="Arial" w:eastAsia="Calibri" w:hAnsi="Arial" w:cs="Arial"/>
          <w:sz w:val="24"/>
          <w:szCs w:val="24"/>
        </w:rPr>
        <w:t xml:space="preserve"> 6.6</w:t>
      </w:r>
      <w:r>
        <w:rPr>
          <w:rFonts w:ascii="Arial" w:eastAsia="Calibri" w:hAnsi="Arial" w:cs="Arial"/>
          <w:sz w:val="24"/>
          <w:szCs w:val="24"/>
        </w:rPr>
        <w:t>%</w:t>
      </w:r>
      <w:r w:rsidR="00925561" w:rsidRPr="00297143">
        <w:rPr>
          <w:rFonts w:ascii="Arial" w:eastAsia="Calibri" w:hAnsi="Arial" w:cs="Arial"/>
          <w:sz w:val="24"/>
          <w:szCs w:val="24"/>
        </w:rPr>
        <w:t xml:space="preserve"> </w:t>
      </w:r>
      <w:r w:rsidR="004948E0">
        <w:rPr>
          <w:rFonts w:ascii="Arial" w:eastAsia="Calibri" w:hAnsi="Arial" w:cs="Arial"/>
          <w:sz w:val="24"/>
          <w:szCs w:val="24"/>
        </w:rPr>
        <w:t xml:space="preserve">lo hace </w:t>
      </w:r>
      <w:r w:rsidR="00925561" w:rsidRPr="00297143">
        <w:rPr>
          <w:rFonts w:ascii="Arial" w:eastAsia="Calibri" w:hAnsi="Arial" w:cs="Arial"/>
          <w:sz w:val="24"/>
          <w:szCs w:val="24"/>
        </w:rPr>
        <w:t xml:space="preserve">en pobreza extrema, </w:t>
      </w:r>
      <w:r>
        <w:rPr>
          <w:rFonts w:ascii="Arial" w:eastAsia="Calibri" w:hAnsi="Arial" w:cs="Arial"/>
          <w:sz w:val="24"/>
          <w:szCs w:val="24"/>
        </w:rPr>
        <w:t xml:space="preserve">y </w:t>
      </w:r>
      <w:r w:rsidR="00925561" w:rsidRPr="00297143">
        <w:rPr>
          <w:rFonts w:ascii="Arial" w:eastAsia="Calibri" w:hAnsi="Arial" w:cs="Arial"/>
          <w:sz w:val="24"/>
          <w:szCs w:val="24"/>
        </w:rPr>
        <w:t>la mayoría son mujeres</w:t>
      </w:r>
      <w:r w:rsidR="004948E0">
        <w:rPr>
          <w:rFonts w:ascii="Arial" w:eastAsia="Calibri" w:hAnsi="Arial" w:cs="Arial"/>
          <w:sz w:val="24"/>
          <w:szCs w:val="24"/>
        </w:rPr>
        <w:t xml:space="preserve">. Por ello, la firma y aprobación de la citada </w:t>
      </w:r>
      <w:r w:rsidR="00925561" w:rsidRPr="00297143">
        <w:rPr>
          <w:rFonts w:ascii="Arial" w:eastAsia="Calibri" w:hAnsi="Arial" w:cs="Arial"/>
          <w:sz w:val="24"/>
          <w:szCs w:val="24"/>
        </w:rPr>
        <w:t xml:space="preserve">Convención </w:t>
      </w:r>
      <w:r w:rsidR="004948E0">
        <w:rPr>
          <w:rFonts w:ascii="Arial" w:eastAsia="Calibri" w:hAnsi="Arial" w:cs="Arial"/>
          <w:sz w:val="24"/>
          <w:szCs w:val="24"/>
        </w:rPr>
        <w:t xml:space="preserve">significaría </w:t>
      </w:r>
      <w:r>
        <w:rPr>
          <w:rFonts w:ascii="Arial" w:eastAsia="Calibri" w:hAnsi="Arial" w:cs="Arial"/>
          <w:sz w:val="24"/>
          <w:szCs w:val="24"/>
        </w:rPr>
        <w:t xml:space="preserve">avanzar </w:t>
      </w:r>
      <w:r w:rsidR="004948E0">
        <w:rPr>
          <w:rFonts w:ascii="Arial" w:eastAsia="Calibri" w:hAnsi="Arial" w:cs="Arial"/>
          <w:sz w:val="24"/>
          <w:szCs w:val="24"/>
        </w:rPr>
        <w:t xml:space="preserve">de acuerdo al </w:t>
      </w:r>
      <w:r w:rsidR="00925561" w:rsidRPr="00297143">
        <w:rPr>
          <w:rFonts w:ascii="Arial" w:eastAsia="Calibri" w:hAnsi="Arial" w:cs="Arial"/>
          <w:sz w:val="24"/>
          <w:szCs w:val="24"/>
        </w:rPr>
        <w:t xml:space="preserve">mandato </w:t>
      </w:r>
      <w:r w:rsidR="004E4EC8">
        <w:rPr>
          <w:rFonts w:ascii="Arial" w:eastAsia="Calibri" w:hAnsi="Arial" w:cs="Arial"/>
          <w:sz w:val="24"/>
          <w:szCs w:val="24"/>
        </w:rPr>
        <w:t>d</w:t>
      </w:r>
      <w:r w:rsidR="00925561" w:rsidRPr="00297143">
        <w:rPr>
          <w:rFonts w:ascii="Arial" w:eastAsia="Calibri" w:hAnsi="Arial" w:cs="Arial"/>
          <w:sz w:val="24"/>
          <w:szCs w:val="24"/>
        </w:rPr>
        <w:t xml:space="preserve">el Artículo </w:t>
      </w:r>
      <w:r w:rsidR="004E4EC8">
        <w:rPr>
          <w:rFonts w:ascii="Arial" w:eastAsia="Calibri" w:hAnsi="Arial" w:cs="Arial"/>
          <w:sz w:val="24"/>
          <w:szCs w:val="24"/>
        </w:rPr>
        <w:t>1</w:t>
      </w:r>
      <w:r w:rsidR="004948E0">
        <w:rPr>
          <w:rFonts w:ascii="Arial" w:eastAsia="Calibri" w:hAnsi="Arial" w:cs="Arial"/>
          <w:sz w:val="24"/>
          <w:szCs w:val="24"/>
        </w:rPr>
        <w:t>°</w:t>
      </w:r>
      <w:r w:rsidR="004E4EC8">
        <w:rPr>
          <w:rFonts w:ascii="Arial" w:eastAsia="Calibri" w:hAnsi="Arial" w:cs="Arial"/>
          <w:sz w:val="24"/>
          <w:szCs w:val="24"/>
        </w:rPr>
        <w:t xml:space="preserve"> </w:t>
      </w:r>
      <w:r w:rsidR="00925561" w:rsidRPr="00297143">
        <w:rPr>
          <w:rFonts w:ascii="Arial" w:eastAsia="Calibri" w:hAnsi="Arial" w:cs="Arial"/>
          <w:sz w:val="24"/>
          <w:szCs w:val="24"/>
        </w:rPr>
        <w:t xml:space="preserve">de </w:t>
      </w:r>
      <w:r w:rsidR="004948E0">
        <w:rPr>
          <w:rFonts w:ascii="Arial" w:eastAsia="Calibri" w:hAnsi="Arial" w:cs="Arial"/>
          <w:sz w:val="24"/>
          <w:szCs w:val="24"/>
        </w:rPr>
        <w:t xml:space="preserve">nuestra </w:t>
      </w:r>
      <w:r w:rsidR="004E4EC8">
        <w:rPr>
          <w:rFonts w:ascii="Arial" w:eastAsia="Calibri" w:hAnsi="Arial" w:cs="Arial"/>
          <w:sz w:val="24"/>
          <w:szCs w:val="24"/>
        </w:rPr>
        <w:t xml:space="preserve">Carta Magna, en lo </w:t>
      </w:r>
      <w:r w:rsidR="004E4EC8" w:rsidRPr="00297143">
        <w:rPr>
          <w:rFonts w:ascii="Arial" w:eastAsia="Calibri" w:hAnsi="Arial" w:cs="Arial"/>
          <w:sz w:val="24"/>
          <w:szCs w:val="24"/>
        </w:rPr>
        <w:t>relativo</w:t>
      </w:r>
      <w:r w:rsidR="00925561" w:rsidRPr="00297143">
        <w:rPr>
          <w:rFonts w:ascii="Arial" w:eastAsia="Calibri" w:hAnsi="Arial" w:cs="Arial"/>
          <w:sz w:val="24"/>
          <w:szCs w:val="24"/>
        </w:rPr>
        <w:t xml:space="preserve"> </w:t>
      </w:r>
      <w:r w:rsidR="00C26D78">
        <w:rPr>
          <w:rFonts w:ascii="Arial" w:eastAsia="Calibri" w:hAnsi="Arial" w:cs="Arial"/>
          <w:sz w:val="24"/>
          <w:szCs w:val="24"/>
        </w:rPr>
        <w:t xml:space="preserve">a </w:t>
      </w:r>
      <w:r w:rsidR="00925561" w:rsidRPr="00297143">
        <w:rPr>
          <w:rFonts w:ascii="Arial" w:eastAsia="Calibri" w:hAnsi="Arial" w:cs="Arial"/>
          <w:sz w:val="24"/>
          <w:szCs w:val="24"/>
        </w:rPr>
        <w:t>promover, proteger y garantizar los derechos humanos de toda persona</w:t>
      </w:r>
      <w:r w:rsidR="00925561" w:rsidRPr="00297143">
        <w:rPr>
          <w:rStyle w:val="Refdenotaalpie"/>
          <w:rFonts w:ascii="Arial" w:eastAsia="Calibri" w:hAnsi="Arial" w:cs="Arial"/>
          <w:sz w:val="24"/>
          <w:szCs w:val="24"/>
        </w:rPr>
        <w:footnoteReference w:id="6"/>
      </w:r>
      <w:r w:rsidR="00925561" w:rsidRPr="00297143">
        <w:rPr>
          <w:rFonts w:ascii="Arial" w:eastAsia="Calibri" w:hAnsi="Arial" w:cs="Arial"/>
          <w:sz w:val="24"/>
          <w:szCs w:val="24"/>
        </w:rPr>
        <w:t>.</w:t>
      </w:r>
      <w:r w:rsidR="002B7C05">
        <w:rPr>
          <w:rFonts w:ascii="Arial" w:eastAsia="Calibri" w:hAnsi="Arial" w:cs="Arial"/>
          <w:sz w:val="24"/>
          <w:szCs w:val="24"/>
        </w:rPr>
        <w:t xml:space="preserve"> </w:t>
      </w:r>
      <w:r w:rsidR="00D2348F" w:rsidRPr="00D2348F">
        <w:rPr>
          <w:rFonts w:ascii="Arial" w:eastAsia="Calibri" w:hAnsi="Arial" w:cs="Arial"/>
          <w:sz w:val="24"/>
          <w:szCs w:val="24"/>
        </w:rPr>
        <w:t xml:space="preserve">En México el abuso patrimonial no es </w:t>
      </w:r>
      <w:r w:rsidR="00D2348F">
        <w:rPr>
          <w:rFonts w:ascii="Arial" w:eastAsia="Calibri" w:hAnsi="Arial" w:cs="Arial"/>
          <w:sz w:val="24"/>
          <w:szCs w:val="24"/>
        </w:rPr>
        <w:t xml:space="preserve">la </w:t>
      </w:r>
      <w:r w:rsidR="00D2348F" w:rsidRPr="00D2348F">
        <w:rPr>
          <w:rFonts w:ascii="Arial" w:eastAsia="Calibri" w:hAnsi="Arial" w:cs="Arial"/>
          <w:sz w:val="24"/>
          <w:szCs w:val="24"/>
        </w:rPr>
        <w:t>únic</w:t>
      </w:r>
      <w:r w:rsidR="00D2348F">
        <w:rPr>
          <w:rFonts w:ascii="Arial" w:eastAsia="Calibri" w:hAnsi="Arial" w:cs="Arial"/>
          <w:sz w:val="24"/>
          <w:szCs w:val="24"/>
        </w:rPr>
        <w:t>a</w:t>
      </w:r>
      <w:r w:rsidR="00D2348F" w:rsidRPr="00D2348F">
        <w:rPr>
          <w:rFonts w:ascii="Arial" w:eastAsia="Calibri" w:hAnsi="Arial" w:cs="Arial"/>
          <w:sz w:val="24"/>
          <w:szCs w:val="24"/>
        </w:rPr>
        <w:t xml:space="preserve"> arbitrariedad que se ejecuta contra este sector poblacional, pero sí el más doloroso, porque es consumado por la </w:t>
      </w:r>
      <w:r w:rsidR="00D2348F">
        <w:rPr>
          <w:rFonts w:ascii="Arial" w:eastAsia="Calibri" w:hAnsi="Arial" w:cs="Arial"/>
          <w:sz w:val="24"/>
          <w:szCs w:val="24"/>
        </w:rPr>
        <w:t xml:space="preserve">propia </w:t>
      </w:r>
      <w:r w:rsidR="00D2348F" w:rsidRPr="00D2348F">
        <w:rPr>
          <w:rFonts w:ascii="Arial" w:eastAsia="Calibri" w:hAnsi="Arial" w:cs="Arial"/>
          <w:sz w:val="24"/>
          <w:szCs w:val="24"/>
        </w:rPr>
        <w:t xml:space="preserve">familia, </w:t>
      </w:r>
      <w:r w:rsidR="00D2348F">
        <w:rPr>
          <w:rFonts w:ascii="Arial" w:eastAsia="Calibri" w:hAnsi="Arial" w:cs="Arial"/>
          <w:sz w:val="24"/>
          <w:szCs w:val="24"/>
        </w:rPr>
        <w:t>y en muchos</w:t>
      </w:r>
      <w:r w:rsidR="00D2348F" w:rsidRPr="00D2348F">
        <w:rPr>
          <w:rFonts w:ascii="Arial" w:eastAsia="Calibri" w:hAnsi="Arial" w:cs="Arial"/>
          <w:sz w:val="24"/>
          <w:szCs w:val="24"/>
        </w:rPr>
        <w:t xml:space="preserve"> casos por los hijos</w:t>
      </w:r>
    </w:p>
    <w:p w14:paraId="23D1CD20" w14:textId="77777777" w:rsidR="007E1A6B" w:rsidRDefault="007E1A6B" w:rsidP="007E1A6B">
      <w:pPr>
        <w:spacing w:after="0" w:line="276" w:lineRule="auto"/>
        <w:jc w:val="both"/>
        <w:rPr>
          <w:rFonts w:ascii="Arial" w:eastAsia="Calibri" w:hAnsi="Arial" w:cs="Arial"/>
          <w:b/>
          <w:bCs/>
          <w:sz w:val="24"/>
          <w:szCs w:val="24"/>
        </w:rPr>
      </w:pPr>
    </w:p>
    <w:p w14:paraId="6689BF3A" w14:textId="406CAF16" w:rsidR="00D2348F" w:rsidRDefault="002B7C05" w:rsidP="007E1A6B">
      <w:pPr>
        <w:spacing w:after="0" w:line="276" w:lineRule="auto"/>
        <w:jc w:val="both"/>
        <w:rPr>
          <w:rFonts w:ascii="Arial" w:eastAsia="Calibri" w:hAnsi="Arial" w:cs="Arial"/>
          <w:sz w:val="24"/>
          <w:szCs w:val="24"/>
        </w:rPr>
      </w:pPr>
      <w:r>
        <w:rPr>
          <w:rFonts w:ascii="Arial" w:eastAsia="Calibri" w:hAnsi="Arial" w:cs="Arial"/>
          <w:sz w:val="24"/>
          <w:szCs w:val="24"/>
        </w:rPr>
        <w:t>En ese sentido</w:t>
      </w:r>
      <w:r w:rsidR="004948E0">
        <w:rPr>
          <w:rFonts w:ascii="Arial" w:eastAsia="Calibri" w:hAnsi="Arial" w:cs="Arial"/>
          <w:sz w:val="24"/>
          <w:szCs w:val="24"/>
        </w:rPr>
        <w:t>,</w:t>
      </w:r>
      <w:r>
        <w:rPr>
          <w:rFonts w:ascii="Arial" w:eastAsia="Calibri" w:hAnsi="Arial" w:cs="Arial"/>
          <w:sz w:val="24"/>
          <w:szCs w:val="24"/>
        </w:rPr>
        <w:t xml:space="preserve"> e</w:t>
      </w:r>
      <w:r w:rsidR="00D2348F" w:rsidRPr="00D2348F">
        <w:rPr>
          <w:rFonts w:ascii="Arial" w:eastAsia="Calibri" w:hAnsi="Arial" w:cs="Arial"/>
          <w:sz w:val="24"/>
          <w:szCs w:val="24"/>
        </w:rPr>
        <w:t xml:space="preserve">ste </w:t>
      </w:r>
      <w:r w:rsidR="00D2348F">
        <w:rPr>
          <w:rFonts w:ascii="Arial" w:eastAsia="Calibri" w:hAnsi="Arial" w:cs="Arial"/>
          <w:sz w:val="24"/>
          <w:szCs w:val="24"/>
        </w:rPr>
        <w:t xml:space="preserve">instrumento </w:t>
      </w:r>
      <w:r w:rsidR="00D2348F" w:rsidRPr="00D2348F">
        <w:rPr>
          <w:rFonts w:ascii="Arial" w:eastAsia="Calibri" w:hAnsi="Arial" w:cs="Arial"/>
          <w:sz w:val="24"/>
          <w:szCs w:val="24"/>
        </w:rPr>
        <w:t xml:space="preserve">internacional </w:t>
      </w:r>
      <w:r w:rsidR="00D2348F">
        <w:rPr>
          <w:rFonts w:ascii="Arial" w:eastAsia="Calibri" w:hAnsi="Arial" w:cs="Arial"/>
          <w:sz w:val="24"/>
          <w:szCs w:val="24"/>
        </w:rPr>
        <w:t>es</w:t>
      </w:r>
      <w:r w:rsidR="00022C81">
        <w:rPr>
          <w:rFonts w:ascii="Arial" w:eastAsia="Calibri" w:hAnsi="Arial" w:cs="Arial"/>
          <w:sz w:val="24"/>
          <w:szCs w:val="24"/>
        </w:rPr>
        <w:t xml:space="preserve"> </w:t>
      </w:r>
      <w:r w:rsidR="00022C81" w:rsidRPr="00D2348F">
        <w:rPr>
          <w:rFonts w:ascii="Arial" w:eastAsia="Calibri" w:hAnsi="Arial" w:cs="Arial"/>
          <w:sz w:val="24"/>
          <w:szCs w:val="24"/>
        </w:rPr>
        <w:t>transcendental</w:t>
      </w:r>
      <w:r w:rsidR="00D2348F" w:rsidRPr="00D2348F">
        <w:rPr>
          <w:rFonts w:ascii="Arial" w:eastAsia="Calibri" w:hAnsi="Arial" w:cs="Arial"/>
          <w:sz w:val="24"/>
          <w:szCs w:val="24"/>
        </w:rPr>
        <w:t xml:space="preserve">, pues </w:t>
      </w:r>
      <w:r w:rsidR="00716DEB" w:rsidRPr="00D2348F">
        <w:rPr>
          <w:rFonts w:ascii="Arial" w:eastAsia="Calibri" w:hAnsi="Arial" w:cs="Arial"/>
          <w:sz w:val="24"/>
          <w:szCs w:val="24"/>
        </w:rPr>
        <w:t>implica</w:t>
      </w:r>
      <w:r w:rsidR="00D2348F" w:rsidRPr="00D2348F">
        <w:rPr>
          <w:rFonts w:ascii="Arial" w:eastAsia="Calibri" w:hAnsi="Arial" w:cs="Arial"/>
          <w:sz w:val="24"/>
          <w:szCs w:val="24"/>
        </w:rPr>
        <w:t xml:space="preserve"> garantizar a los 13 millones de personas mayores en México </w:t>
      </w:r>
      <w:r w:rsidR="00022C81">
        <w:rPr>
          <w:rFonts w:ascii="Arial" w:eastAsia="Calibri" w:hAnsi="Arial" w:cs="Arial"/>
          <w:sz w:val="24"/>
          <w:szCs w:val="24"/>
        </w:rPr>
        <w:t xml:space="preserve">en </w:t>
      </w:r>
      <w:r w:rsidR="00D2348F" w:rsidRPr="00D2348F">
        <w:rPr>
          <w:rFonts w:ascii="Arial" w:eastAsia="Calibri" w:hAnsi="Arial" w:cs="Arial"/>
          <w:sz w:val="24"/>
          <w:szCs w:val="24"/>
        </w:rPr>
        <w:t xml:space="preserve">un marco legal más amplio, que les </w:t>
      </w:r>
      <w:r w:rsidR="004948E0">
        <w:rPr>
          <w:rFonts w:ascii="Arial" w:eastAsia="Calibri" w:hAnsi="Arial" w:cs="Arial"/>
          <w:sz w:val="24"/>
          <w:szCs w:val="24"/>
        </w:rPr>
        <w:t>permita</w:t>
      </w:r>
      <w:r w:rsidR="00D2348F" w:rsidRPr="00D2348F">
        <w:rPr>
          <w:rFonts w:ascii="Arial" w:eastAsia="Calibri" w:hAnsi="Arial" w:cs="Arial"/>
          <w:sz w:val="24"/>
          <w:szCs w:val="24"/>
        </w:rPr>
        <w:t xml:space="preserve"> </w:t>
      </w:r>
      <w:r w:rsidR="00022C81" w:rsidRPr="00D2348F">
        <w:rPr>
          <w:rFonts w:ascii="Arial" w:eastAsia="Calibri" w:hAnsi="Arial" w:cs="Arial"/>
          <w:sz w:val="24"/>
          <w:szCs w:val="24"/>
        </w:rPr>
        <w:t>practicar</w:t>
      </w:r>
      <w:r w:rsidR="00D2348F" w:rsidRPr="00D2348F">
        <w:rPr>
          <w:rFonts w:ascii="Arial" w:eastAsia="Calibri" w:hAnsi="Arial" w:cs="Arial"/>
          <w:sz w:val="24"/>
          <w:szCs w:val="24"/>
        </w:rPr>
        <w:t xml:space="preserve"> </w:t>
      </w:r>
      <w:r w:rsidR="00022C81" w:rsidRPr="00D2348F">
        <w:rPr>
          <w:rFonts w:ascii="Arial" w:eastAsia="Calibri" w:hAnsi="Arial" w:cs="Arial"/>
          <w:sz w:val="24"/>
          <w:szCs w:val="24"/>
        </w:rPr>
        <w:t>enteramente</w:t>
      </w:r>
      <w:r w:rsidR="00D2348F" w:rsidRPr="00D2348F">
        <w:rPr>
          <w:rFonts w:ascii="Arial" w:eastAsia="Calibri" w:hAnsi="Arial" w:cs="Arial"/>
          <w:sz w:val="24"/>
          <w:szCs w:val="24"/>
        </w:rPr>
        <w:t xml:space="preserve"> sus derechos. Así, cuando un procedimiento legal no </w:t>
      </w:r>
      <w:r w:rsidR="00716DEB">
        <w:rPr>
          <w:rFonts w:ascii="Arial" w:eastAsia="Calibri" w:hAnsi="Arial" w:cs="Arial"/>
          <w:sz w:val="24"/>
          <w:szCs w:val="24"/>
        </w:rPr>
        <w:t xml:space="preserve">es </w:t>
      </w:r>
      <w:r w:rsidR="00D2348F" w:rsidRPr="00D2348F">
        <w:rPr>
          <w:rFonts w:ascii="Arial" w:eastAsia="Calibri" w:hAnsi="Arial" w:cs="Arial"/>
          <w:sz w:val="24"/>
          <w:szCs w:val="24"/>
        </w:rPr>
        <w:t>resuelto en instancias nacionales</w:t>
      </w:r>
      <w:r w:rsidR="00716DEB">
        <w:rPr>
          <w:rFonts w:ascii="Arial" w:eastAsia="Calibri" w:hAnsi="Arial" w:cs="Arial"/>
          <w:sz w:val="24"/>
          <w:szCs w:val="24"/>
        </w:rPr>
        <w:t xml:space="preserve">, siempre existe la </w:t>
      </w:r>
      <w:r w:rsidR="00716DEB">
        <w:rPr>
          <w:rFonts w:ascii="Arial" w:eastAsia="Calibri" w:hAnsi="Arial" w:cs="Arial"/>
          <w:sz w:val="24"/>
          <w:szCs w:val="24"/>
        </w:rPr>
        <w:lastRenderedPageBreak/>
        <w:t xml:space="preserve">posibilidad de </w:t>
      </w:r>
      <w:r w:rsidR="00022C81">
        <w:rPr>
          <w:rFonts w:ascii="Arial" w:eastAsia="Calibri" w:hAnsi="Arial" w:cs="Arial"/>
          <w:sz w:val="24"/>
          <w:szCs w:val="24"/>
        </w:rPr>
        <w:t xml:space="preserve">acudir </w:t>
      </w:r>
      <w:r w:rsidR="00D2348F" w:rsidRPr="00D2348F">
        <w:rPr>
          <w:rFonts w:ascii="Arial" w:eastAsia="Calibri" w:hAnsi="Arial" w:cs="Arial"/>
          <w:sz w:val="24"/>
          <w:szCs w:val="24"/>
        </w:rPr>
        <w:t xml:space="preserve">a las </w:t>
      </w:r>
      <w:r w:rsidR="00022C81">
        <w:rPr>
          <w:rFonts w:ascii="Arial" w:eastAsia="Calibri" w:hAnsi="Arial" w:cs="Arial"/>
          <w:sz w:val="24"/>
          <w:szCs w:val="24"/>
        </w:rPr>
        <w:t>instancias</w:t>
      </w:r>
      <w:r w:rsidR="00716DEB">
        <w:rPr>
          <w:rFonts w:ascii="Arial" w:eastAsia="Calibri" w:hAnsi="Arial" w:cs="Arial"/>
          <w:sz w:val="24"/>
          <w:szCs w:val="24"/>
        </w:rPr>
        <w:t xml:space="preserve"> u organismos </w:t>
      </w:r>
      <w:r w:rsidR="00D2348F" w:rsidRPr="00D2348F">
        <w:rPr>
          <w:rFonts w:ascii="Arial" w:eastAsia="Calibri" w:hAnsi="Arial" w:cs="Arial"/>
          <w:sz w:val="24"/>
          <w:szCs w:val="24"/>
        </w:rPr>
        <w:t xml:space="preserve">internacionales para </w:t>
      </w:r>
      <w:r w:rsidR="00022C81">
        <w:rPr>
          <w:rFonts w:ascii="Arial" w:eastAsia="Calibri" w:hAnsi="Arial" w:cs="Arial"/>
          <w:sz w:val="24"/>
          <w:szCs w:val="24"/>
        </w:rPr>
        <w:t xml:space="preserve">que </w:t>
      </w:r>
      <w:r w:rsidR="00716DEB">
        <w:rPr>
          <w:rFonts w:ascii="Arial" w:eastAsia="Calibri" w:hAnsi="Arial" w:cs="Arial"/>
          <w:sz w:val="24"/>
          <w:szCs w:val="24"/>
        </w:rPr>
        <w:t xml:space="preserve">se </w:t>
      </w:r>
      <w:r w:rsidR="00022C81">
        <w:rPr>
          <w:rFonts w:ascii="Arial" w:eastAsia="Calibri" w:hAnsi="Arial" w:cs="Arial"/>
          <w:sz w:val="24"/>
          <w:szCs w:val="24"/>
        </w:rPr>
        <w:t xml:space="preserve">hagan </w:t>
      </w:r>
      <w:r w:rsidR="00D2348F" w:rsidRPr="00D2348F">
        <w:rPr>
          <w:rFonts w:ascii="Arial" w:eastAsia="Calibri" w:hAnsi="Arial" w:cs="Arial"/>
          <w:sz w:val="24"/>
          <w:szCs w:val="24"/>
        </w:rPr>
        <w:t>recomendaciones a las autoridades</w:t>
      </w:r>
      <w:r w:rsidR="00022C81">
        <w:rPr>
          <w:rFonts w:ascii="Arial" w:eastAsia="Calibri" w:hAnsi="Arial" w:cs="Arial"/>
          <w:sz w:val="24"/>
          <w:szCs w:val="24"/>
        </w:rPr>
        <w:t xml:space="preserve"> locales</w:t>
      </w:r>
      <w:r w:rsidR="00D2348F">
        <w:rPr>
          <w:rStyle w:val="Refdenotaalpie"/>
          <w:rFonts w:ascii="Arial" w:eastAsia="Calibri" w:hAnsi="Arial" w:cs="Arial"/>
          <w:sz w:val="24"/>
          <w:szCs w:val="24"/>
        </w:rPr>
        <w:footnoteReference w:id="7"/>
      </w:r>
      <w:r w:rsidR="00D2348F" w:rsidRPr="00D2348F">
        <w:rPr>
          <w:rFonts w:ascii="Arial" w:eastAsia="Calibri" w:hAnsi="Arial" w:cs="Arial"/>
          <w:sz w:val="24"/>
          <w:szCs w:val="24"/>
        </w:rPr>
        <w:t>.</w:t>
      </w:r>
    </w:p>
    <w:p w14:paraId="2485AA13" w14:textId="111DABE0" w:rsidR="004948E0" w:rsidRDefault="004948E0" w:rsidP="004948E0">
      <w:pPr>
        <w:spacing w:after="0" w:line="276" w:lineRule="auto"/>
        <w:jc w:val="both"/>
        <w:rPr>
          <w:rFonts w:ascii="Arial" w:eastAsia="Calibri" w:hAnsi="Arial" w:cs="Arial"/>
          <w:sz w:val="24"/>
          <w:szCs w:val="24"/>
        </w:rPr>
      </w:pPr>
    </w:p>
    <w:p w14:paraId="3A5759E3" w14:textId="08B18E15" w:rsidR="004948E0" w:rsidRPr="00D2348F" w:rsidRDefault="004948E0" w:rsidP="004948E0">
      <w:pPr>
        <w:spacing w:after="0" w:line="276" w:lineRule="auto"/>
        <w:jc w:val="both"/>
        <w:rPr>
          <w:rFonts w:ascii="Arial" w:eastAsia="Calibri" w:hAnsi="Arial" w:cs="Arial"/>
          <w:sz w:val="24"/>
          <w:szCs w:val="24"/>
        </w:rPr>
      </w:pPr>
      <w:r>
        <w:rPr>
          <w:rFonts w:ascii="Arial" w:eastAsia="Calibri" w:hAnsi="Arial" w:cs="Arial"/>
          <w:sz w:val="24"/>
          <w:szCs w:val="24"/>
        </w:rPr>
        <w:t>Además de lo anterior, esta Convención se inscribe en los instrumentos internacionales en materia de Derechos Humanos y, por lo tanto, atendiendo al propio artículo 1° de nuestra Constitución federal, gozaría de rango constitucional y las autoridades del país tendrían la obligación de actuar en consecuencia.</w:t>
      </w:r>
    </w:p>
    <w:p w14:paraId="64474B94" w14:textId="7E787AE6" w:rsidR="00D2348F" w:rsidRDefault="00D2348F" w:rsidP="004948E0">
      <w:pPr>
        <w:spacing w:after="0" w:line="276" w:lineRule="auto"/>
        <w:jc w:val="both"/>
        <w:rPr>
          <w:rFonts w:ascii="Arial" w:eastAsia="Calibri" w:hAnsi="Arial" w:cs="Arial"/>
          <w:sz w:val="24"/>
          <w:szCs w:val="24"/>
        </w:rPr>
      </w:pPr>
    </w:p>
    <w:p w14:paraId="0930C7AB" w14:textId="258BF50A" w:rsidR="00D51F66" w:rsidRDefault="006F48F8" w:rsidP="004948E0">
      <w:pPr>
        <w:spacing w:after="0" w:line="276" w:lineRule="auto"/>
        <w:jc w:val="both"/>
        <w:rPr>
          <w:rFonts w:ascii="Arial" w:eastAsia="Calibri" w:hAnsi="Arial" w:cs="Arial"/>
          <w:sz w:val="24"/>
          <w:szCs w:val="24"/>
        </w:rPr>
      </w:pPr>
      <w:r>
        <w:rPr>
          <w:rFonts w:ascii="Arial" w:eastAsia="Calibri" w:hAnsi="Arial" w:cs="Arial"/>
          <w:b/>
          <w:bCs/>
          <w:sz w:val="24"/>
          <w:szCs w:val="24"/>
        </w:rPr>
        <w:t>NOVEN</w:t>
      </w:r>
      <w:r w:rsidR="002B7C05" w:rsidRPr="002B7C05">
        <w:rPr>
          <w:rFonts w:ascii="Arial" w:eastAsia="Calibri" w:hAnsi="Arial" w:cs="Arial"/>
          <w:b/>
          <w:bCs/>
          <w:sz w:val="24"/>
          <w:szCs w:val="24"/>
        </w:rPr>
        <w:t>A.</w:t>
      </w:r>
      <w:r>
        <w:rPr>
          <w:rFonts w:ascii="Arial" w:eastAsia="Calibri" w:hAnsi="Arial" w:cs="Arial"/>
          <w:sz w:val="24"/>
          <w:szCs w:val="24"/>
        </w:rPr>
        <w:t xml:space="preserve"> Aunado a</w:t>
      </w:r>
      <w:r w:rsidR="00577330" w:rsidRPr="00297143">
        <w:rPr>
          <w:rFonts w:ascii="Arial" w:eastAsia="Calibri" w:hAnsi="Arial" w:cs="Arial"/>
          <w:sz w:val="24"/>
          <w:szCs w:val="24"/>
        </w:rPr>
        <w:t xml:space="preserve">l impacto en la salud, la pandemia </w:t>
      </w:r>
      <w:r w:rsidR="004948E0">
        <w:rPr>
          <w:rFonts w:ascii="Arial" w:eastAsia="Calibri" w:hAnsi="Arial" w:cs="Arial"/>
          <w:sz w:val="24"/>
          <w:szCs w:val="24"/>
        </w:rPr>
        <w:t xml:space="preserve">provocada por </w:t>
      </w:r>
      <w:r w:rsidR="004E4EC8">
        <w:rPr>
          <w:rFonts w:ascii="Arial" w:eastAsia="Calibri" w:hAnsi="Arial" w:cs="Arial"/>
          <w:sz w:val="24"/>
          <w:szCs w:val="24"/>
        </w:rPr>
        <w:t xml:space="preserve">el </w:t>
      </w:r>
      <w:r w:rsidR="004E4EC8" w:rsidRPr="004E4EC8">
        <w:rPr>
          <w:rFonts w:ascii="Arial" w:eastAsia="Calibri" w:hAnsi="Arial" w:cs="Arial"/>
          <w:sz w:val="24"/>
          <w:szCs w:val="24"/>
        </w:rPr>
        <w:t>Coronavirus (COVID-19)</w:t>
      </w:r>
      <w:r w:rsidR="004E4EC8">
        <w:rPr>
          <w:rFonts w:ascii="Arial" w:eastAsia="Calibri" w:hAnsi="Arial" w:cs="Arial"/>
          <w:sz w:val="24"/>
          <w:szCs w:val="24"/>
        </w:rPr>
        <w:t xml:space="preserve"> </w:t>
      </w:r>
      <w:r w:rsidR="00577330" w:rsidRPr="00297143">
        <w:rPr>
          <w:rFonts w:ascii="Arial" w:eastAsia="Calibri" w:hAnsi="Arial" w:cs="Arial"/>
          <w:sz w:val="24"/>
          <w:szCs w:val="24"/>
        </w:rPr>
        <w:t xml:space="preserve">está poniendo </w:t>
      </w:r>
      <w:r w:rsidR="004E4EC8">
        <w:rPr>
          <w:rFonts w:ascii="Arial" w:eastAsia="Calibri" w:hAnsi="Arial" w:cs="Arial"/>
          <w:sz w:val="24"/>
          <w:szCs w:val="24"/>
        </w:rPr>
        <w:t>en riesgo</w:t>
      </w:r>
      <w:r w:rsidR="004948E0">
        <w:rPr>
          <w:rFonts w:ascii="Arial" w:eastAsia="Calibri" w:hAnsi="Arial" w:cs="Arial"/>
          <w:sz w:val="24"/>
          <w:szCs w:val="24"/>
        </w:rPr>
        <w:t>, de manera especial,</w:t>
      </w:r>
      <w:r w:rsidR="004E4EC8">
        <w:rPr>
          <w:rFonts w:ascii="Arial" w:eastAsia="Calibri" w:hAnsi="Arial" w:cs="Arial"/>
          <w:sz w:val="24"/>
          <w:szCs w:val="24"/>
        </w:rPr>
        <w:t xml:space="preserve"> </w:t>
      </w:r>
      <w:r w:rsidR="00577330" w:rsidRPr="00297143">
        <w:rPr>
          <w:rFonts w:ascii="Arial" w:eastAsia="Calibri" w:hAnsi="Arial" w:cs="Arial"/>
          <w:sz w:val="24"/>
          <w:szCs w:val="24"/>
        </w:rPr>
        <w:t xml:space="preserve">a las personas mayores </w:t>
      </w:r>
      <w:r w:rsidR="00C26D78">
        <w:rPr>
          <w:rFonts w:ascii="Arial" w:eastAsia="Calibri" w:hAnsi="Arial" w:cs="Arial"/>
          <w:sz w:val="24"/>
          <w:szCs w:val="24"/>
        </w:rPr>
        <w:t xml:space="preserve">para </w:t>
      </w:r>
      <w:r w:rsidR="004E4EC8">
        <w:rPr>
          <w:rFonts w:ascii="Arial" w:eastAsia="Calibri" w:hAnsi="Arial" w:cs="Arial"/>
          <w:sz w:val="24"/>
          <w:szCs w:val="24"/>
        </w:rPr>
        <w:t>que caigan en po</w:t>
      </w:r>
      <w:r w:rsidR="00577330" w:rsidRPr="00297143">
        <w:rPr>
          <w:rFonts w:ascii="Arial" w:eastAsia="Calibri" w:hAnsi="Arial" w:cs="Arial"/>
          <w:sz w:val="24"/>
          <w:szCs w:val="24"/>
        </w:rPr>
        <w:t xml:space="preserve">breza, discriminación y aislamiento, </w:t>
      </w:r>
      <w:r w:rsidR="00C26D78">
        <w:rPr>
          <w:rFonts w:ascii="Arial" w:eastAsia="Calibri" w:hAnsi="Arial" w:cs="Arial"/>
          <w:sz w:val="24"/>
          <w:szCs w:val="24"/>
        </w:rPr>
        <w:t xml:space="preserve">con mayor riesgo en </w:t>
      </w:r>
      <w:r w:rsidR="004E4EC8">
        <w:rPr>
          <w:rFonts w:ascii="Arial" w:eastAsia="Calibri" w:hAnsi="Arial" w:cs="Arial"/>
          <w:sz w:val="24"/>
          <w:szCs w:val="24"/>
        </w:rPr>
        <w:t>naciones en desarrollo</w:t>
      </w:r>
      <w:r w:rsidR="00C26D78">
        <w:rPr>
          <w:rFonts w:ascii="Arial" w:eastAsia="Calibri" w:hAnsi="Arial" w:cs="Arial"/>
          <w:sz w:val="24"/>
          <w:szCs w:val="24"/>
        </w:rPr>
        <w:t>,</w:t>
      </w:r>
      <w:r w:rsidR="004E4EC8">
        <w:rPr>
          <w:rFonts w:ascii="Arial" w:eastAsia="Calibri" w:hAnsi="Arial" w:cs="Arial"/>
          <w:sz w:val="24"/>
          <w:szCs w:val="24"/>
        </w:rPr>
        <w:t xml:space="preserve"> ya que los s</w:t>
      </w:r>
      <w:r w:rsidR="00577330" w:rsidRPr="00297143">
        <w:rPr>
          <w:rFonts w:ascii="Arial" w:eastAsia="Calibri" w:hAnsi="Arial" w:cs="Arial"/>
          <w:sz w:val="24"/>
          <w:szCs w:val="24"/>
        </w:rPr>
        <w:t xml:space="preserve">ervicios de salud pública </w:t>
      </w:r>
      <w:r w:rsidR="004E4EC8">
        <w:rPr>
          <w:rFonts w:ascii="Arial" w:eastAsia="Calibri" w:hAnsi="Arial" w:cs="Arial"/>
          <w:sz w:val="24"/>
          <w:szCs w:val="24"/>
        </w:rPr>
        <w:t xml:space="preserve">o </w:t>
      </w:r>
      <w:r w:rsidR="00577330" w:rsidRPr="00297143">
        <w:rPr>
          <w:rFonts w:ascii="Arial" w:eastAsia="Calibri" w:hAnsi="Arial" w:cs="Arial"/>
          <w:sz w:val="24"/>
          <w:szCs w:val="24"/>
        </w:rPr>
        <w:t xml:space="preserve">protección social </w:t>
      </w:r>
      <w:r w:rsidR="004E4EC8">
        <w:rPr>
          <w:rFonts w:ascii="Arial" w:eastAsia="Calibri" w:hAnsi="Arial" w:cs="Arial"/>
          <w:sz w:val="24"/>
          <w:szCs w:val="24"/>
        </w:rPr>
        <w:t xml:space="preserve">serán </w:t>
      </w:r>
      <w:r w:rsidR="00D136C1">
        <w:rPr>
          <w:rFonts w:ascii="Arial" w:eastAsia="Calibri" w:hAnsi="Arial" w:cs="Arial"/>
          <w:sz w:val="24"/>
          <w:szCs w:val="24"/>
        </w:rPr>
        <w:t>degradados</w:t>
      </w:r>
      <w:r w:rsidR="004E4EC8">
        <w:rPr>
          <w:rFonts w:ascii="Arial" w:eastAsia="Calibri" w:hAnsi="Arial" w:cs="Arial"/>
          <w:sz w:val="24"/>
          <w:szCs w:val="24"/>
        </w:rPr>
        <w:t xml:space="preserve"> por el </w:t>
      </w:r>
      <w:r w:rsidR="00577330" w:rsidRPr="00297143">
        <w:rPr>
          <w:rFonts w:ascii="Arial" w:eastAsia="Calibri" w:hAnsi="Arial" w:cs="Arial"/>
          <w:sz w:val="24"/>
          <w:szCs w:val="24"/>
        </w:rPr>
        <w:t>virus.</w:t>
      </w:r>
    </w:p>
    <w:p w14:paraId="3574C1F8" w14:textId="77777777" w:rsidR="004948E0" w:rsidRPr="00297143" w:rsidRDefault="004948E0" w:rsidP="004948E0">
      <w:pPr>
        <w:spacing w:after="0" w:line="276" w:lineRule="auto"/>
        <w:jc w:val="both"/>
        <w:rPr>
          <w:rFonts w:ascii="Arial" w:eastAsia="Calibri" w:hAnsi="Arial" w:cs="Arial"/>
          <w:sz w:val="24"/>
          <w:szCs w:val="24"/>
        </w:rPr>
      </w:pPr>
    </w:p>
    <w:p w14:paraId="07D3D3EC" w14:textId="7EB63655" w:rsidR="00442369" w:rsidRDefault="00577330" w:rsidP="004948E0">
      <w:pPr>
        <w:spacing w:after="0" w:line="276" w:lineRule="auto"/>
        <w:jc w:val="both"/>
        <w:rPr>
          <w:rFonts w:ascii="Arial" w:eastAsia="Calibri" w:hAnsi="Arial" w:cs="Arial"/>
          <w:sz w:val="24"/>
          <w:szCs w:val="24"/>
        </w:rPr>
      </w:pPr>
      <w:r w:rsidRPr="00297143">
        <w:rPr>
          <w:rFonts w:ascii="Arial" w:eastAsia="Calibri" w:hAnsi="Arial" w:cs="Arial"/>
          <w:sz w:val="24"/>
          <w:szCs w:val="24"/>
        </w:rPr>
        <w:t>Para superar esta pandemia</w:t>
      </w:r>
      <w:r w:rsidR="006F48F8">
        <w:rPr>
          <w:rFonts w:ascii="Arial" w:eastAsia="Calibri" w:hAnsi="Arial" w:cs="Arial"/>
          <w:sz w:val="24"/>
          <w:szCs w:val="24"/>
        </w:rPr>
        <w:t>,</w:t>
      </w:r>
      <w:r w:rsidRPr="00297143">
        <w:rPr>
          <w:rFonts w:ascii="Arial" w:eastAsia="Calibri" w:hAnsi="Arial" w:cs="Arial"/>
          <w:sz w:val="24"/>
          <w:szCs w:val="24"/>
        </w:rPr>
        <w:t xml:space="preserve"> </w:t>
      </w:r>
      <w:r w:rsidR="00C26D78">
        <w:rPr>
          <w:rFonts w:ascii="Arial" w:eastAsia="Calibri" w:hAnsi="Arial" w:cs="Arial"/>
          <w:sz w:val="24"/>
          <w:szCs w:val="24"/>
        </w:rPr>
        <w:t xml:space="preserve">se requiere </w:t>
      </w:r>
      <w:r w:rsidRPr="00297143">
        <w:rPr>
          <w:rFonts w:ascii="Arial" w:eastAsia="Calibri" w:hAnsi="Arial" w:cs="Arial"/>
          <w:sz w:val="24"/>
          <w:szCs w:val="24"/>
        </w:rPr>
        <w:t xml:space="preserve">solidaridad global y nacional, </w:t>
      </w:r>
      <w:r w:rsidR="00C26D78">
        <w:rPr>
          <w:rFonts w:ascii="Arial" w:eastAsia="Calibri" w:hAnsi="Arial" w:cs="Arial"/>
          <w:sz w:val="24"/>
          <w:szCs w:val="24"/>
        </w:rPr>
        <w:t xml:space="preserve">cooperación y </w:t>
      </w:r>
      <w:r w:rsidRPr="00297143">
        <w:rPr>
          <w:rFonts w:ascii="Arial" w:eastAsia="Calibri" w:hAnsi="Arial" w:cs="Arial"/>
          <w:sz w:val="24"/>
          <w:szCs w:val="24"/>
        </w:rPr>
        <w:t>contribuci</w:t>
      </w:r>
      <w:r w:rsidR="00C26D78">
        <w:rPr>
          <w:rFonts w:ascii="Arial" w:eastAsia="Calibri" w:hAnsi="Arial" w:cs="Arial"/>
          <w:sz w:val="24"/>
          <w:szCs w:val="24"/>
        </w:rPr>
        <w:t xml:space="preserve">ón de la </w:t>
      </w:r>
      <w:r w:rsidR="00D136C1">
        <w:rPr>
          <w:rFonts w:ascii="Arial" w:eastAsia="Calibri" w:hAnsi="Arial" w:cs="Arial"/>
          <w:sz w:val="24"/>
          <w:szCs w:val="24"/>
        </w:rPr>
        <w:t>C</w:t>
      </w:r>
      <w:r w:rsidR="00C26D78">
        <w:rPr>
          <w:rFonts w:ascii="Arial" w:eastAsia="Calibri" w:hAnsi="Arial" w:cs="Arial"/>
          <w:sz w:val="24"/>
          <w:szCs w:val="24"/>
        </w:rPr>
        <w:t xml:space="preserve">omunidad </w:t>
      </w:r>
      <w:r w:rsidR="00D136C1">
        <w:rPr>
          <w:rFonts w:ascii="Arial" w:eastAsia="Calibri" w:hAnsi="Arial" w:cs="Arial"/>
          <w:sz w:val="24"/>
          <w:szCs w:val="24"/>
        </w:rPr>
        <w:t>I</w:t>
      </w:r>
      <w:r w:rsidR="00C26D78">
        <w:rPr>
          <w:rFonts w:ascii="Arial" w:eastAsia="Calibri" w:hAnsi="Arial" w:cs="Arial"/>
          <w:sz w:val="24"/>
          <w:szCs w:val="24"/>
        </w:rPr>
        <w:t xml:space="preserve">nternacional </w:t>
      </w:r>
      <w:r w:rsidR="00D136C1">
        <w:rPr>
          <w:rFonts w:ascii="Arial" w:eastAsia="Calibri" w:hAnsi="Arial" w:cs="Arial"/>
          <w:sz w:val="24"/>
          <w:szCs w:val="24"/>
        </w:rPr>
        <w:t xml:space="preserve">a </w:t>
      </w:r>
      <w:r w:rsidR="00A4619C">
        <w:rPr>
          <w:rFonts w:ascii="Arial" w:eastAsia="Calibri" w:hAnsi="Arial" w:cs="Arial"/>
          <w:sz w:val="24"/>
          <w:szCs w:val="24"/>
        </w:rPr>
        <w:t>esta</w:t>
      </w:r>
      <w:r w:rsidR="00D136C1">
        <w:rPr>
          <w:rFonts w:ascii="Arial" w:eastAsia="Calibri" w:hAnsi="Arial" w:cs="Arial"/>
          <w:sz w:val="24"/>
          <w:szCs w:val="24"/>
        </w:rPr>
        <w:t xml:space="preserve"> causa, </w:t>
      </w:r>
      <w:r w:rsidR="00120B61">
        <w:rPr>
          <w:rFonts w:ascii="Arial" w:eastAsia="Calibri" w:hAnsi="Arial" w:cs="Arial"/>
          <w:sz w:val="24"/>
          <w:szCs w:val="24"/>
        </w:rPr>
        <w:t xml:space="preserve">además de mayores esfuerzos para atender la Agenda 2030 y los Objetivos de Desarrollo Sostenible, para no dejar a nadie atrás, </w:t>
      </w:r>
      <w:r w:rsidRPr="00297143">
        <w:rPr>
          <w:rFonts w:ascii="Arial" w:eastAsia="Calibri" w:hAnsi="Arial" w:cs="Arial"/>
          <w:sz w:val="24"/>
          <w:szCs w:val="24"/>
        </w:rPr>
        <w:t xml:space="preserve">incluidas </w:t>
      </w:r>
      <w:r w:rsidR="00120B61">
        <w:rPr>
          <w:rFonts w:ascii="Arial" w:eastAsia="Calibri" w:hAnsi="Arial" w:cs="Arial"/>
          <w:sz w:val="24"/>
          <w:szCs w:val="24"/>
        </w:rPr>
        <w:t xml:space="preserve">a </w:t>
      </w:r>
      <w:r w:rsidRPr="00297143">
        <w:rPr>
          <w:rFonts w:ascii="Arial" w:eastAsia="Calibri" w:hAnsi="Arial" w:cs="Arial"/>
          <w:sz w:val="24"/>
          <w:szCs w:val="24"/>
        </w:rPr>
        <w:t xml:space="preserve">las </w:t>
      </w:r>
      <w:r w:rsidR="00D136C1">
        <w:rPr>
          <w:rFonts w:ascii="Arial" w:eastAsia="Calibri" w:hAnsi="Arial" w:cs="Arial"/>
          <w:sz w:val="24"/>
          <w:szCs w:val="24"/>
        </w:rPr>
        <w:t xml:space="preserve">propias </w:t>
      </w:r>
      <w:r w:rsidRPr="00297143">
        <w:rPr>
          <w:rFonts w:ascii="Arial" w:eastAsia="Calibri" w:hAnsi="Arial" w:cs="Arial"/>
          <w:sz w:val="24"/>
          <w:szCs w:val="24"/>
        </w:rPr>
        <w:t xml:space="preserve">personas </w:t>
      </w:r>
      <w:r w:rsidR="00120B61">
        <w:rPr>
          <w:rFonts w:ascii="Arial" w:eastAsia="Calibri" w:hAnsi="Arial" w:cs="Arial"/>
          <w:sz w:val="24"/>
          <w:szCs w:val="24"/>
        </w:rPr>
        <w:t xml:space="preserve">adultas </w:t>
      </w:r>
      <w:r w:rsidR="006F48F8">
        <w:rPr>
          <w:rFonts w:ascii="Arial" w:eastAsia="Calibri" w:hAnsi="Arial" w:cs="Arial"/>
          <w:sz w:val="24"/>
          <w:szCs w:val="24"/>
        </w:rPr>
        <w:t>mayores</w:t>
      </w:r>
      <w:r w:rsidRPr="00297143">
        <w:rPr>
          <w:rStyle w:val="Refdenotaalpie"/>
          <w:rFonts w:ascii="Arial" w:eastAsia="Calibri" w:hAnsi="Arial" w:cs="Arial"/>
          <w:sz w:val="24"/>
          <w:szCs w:val="24"/>
        </w:rPr>
        <w:footnoteReference w:id="8"/>
      </w:r>
      <w:r w:rsidRPr="00297143">
        <w:rPr>
          <w:rFonts w:ascii="Arial" w:eastAsia="Calibri" w:hAnsi="Arial" w:cs="Arial"/>
          <w:sz w:val="24"/>
          <w:szCs w:val="24"/>
        </w:rPr>
        <w:t>.</w:t>
      </w:r>
    </w:p>
    <w:p w14:paraId="20C19FE3" w14:textId="77777777" w:rsidR="00DC48F6" w:rsidRDefault="00DC48F6" w:rsidP="004948E0">
      <w:pPr>
        <w:spacing w:after="0" w:line="276" w:lineRule="auto"/>
        <w:jc w:val="both"/>
        <w:rPr>
          <w:rFonts w:ascii="Arial" w:eastAsia="Calibri" w:hAnsi="Arial" w:cs="Arial"/>
          <w:sz w:val="24"/>
          <w:szCs w:val="24"/>
        </w:rPr>
      </w:pPr>
    </w:p>
    <w:p w14:paraId="51413998" w14:textId="77777777" w:rsidR="00DC48F6" w:rsidRDefault="00DC48F6" w:rsidP="004948E0">
      <w:pPr>
        <w:spacing w:after="0" w:line="276" w:lineRule="auto"/>
        <w:jc w:val="both"/>
        <w:rPr>
          <w:rFonts w:ascii="Arial" w:eastAsia="Calibri" w:hAnsi="Arial" w:cs="Arial"/>
          <w:sz w:val="24"/>
          <w:szCs w:val="24"/>
        </w:rPr>
      </w:pPr>
    </w:p>
    <w:p w14:paraId="4E4B4FB0" w14:textId="5301D295" w:rsidR="00DC48F6" w:rsidRDefault="00DC48F6" w:rsidP="004948E0">
      <w:pPr>
        <w:spacing w:after="0" w:line="276" w:lineRule="auto"/>
        <w:jc w:val="both"/>
        <w:rPr>
          <w:rFonts w:ascii="Arial" w:eastAsia="Calibri" w:hAnsi="Arial" w:cs="Arial"/>
          <w:sz w:val="24"/>
          <w:szCs w:val="24"/>
        </w:rPr>
      </w:pPr>
      <w:r>
        <w:rPr>
          <w:rFonts w:ascii="Arial" w:eastAsia="Calibri" w:hAnsi="Arial" w:cs="Arial"/>
          <w:sz w:val="24"/>
          <w:szCs w:val="24"/>
        </w:rPr>
        <w:t>En atención a las anteriores consideraciones, esta dictaminadora propone unificar, en un solo punto los dos resolutivos propuestos, para quedar como sigue:</w:t>
      </w:r>
    </w:p>
    <w:p w14:paraId="6F8B6DD7" w14:textId="77777777" w:rsidR="00DC48F6" w:rsidRDefault="00DC48F6" w:rsidP="004948E0">
      <w:pPr>
        <w:spacing w:after="0" w:line="276" w:lineRule="auto"/>
        <w:jc w:val="both"/>
        <w:rPr>
          <w:rFonts w:ascii="Arial" w:eastAsia="Calibri" w:hAnsi="Arial" w:cs="Arial"/>
          <w:sz w:val="24"/>
          <w:szCs w:val="24"/>
        </w:rPr>
      </w:pPr>
    </w:p>
    <w:p w14:paraId="0C9672B5" w14:textId="0AC2DA27" w:rsidR="00DC48F6" w:rsidRDefault="00DC48F6" w:rsidP="00DC48F6">
      <w:pPr>
        <w:spacing w:after="0" w:line="276" w:lineRule="auto"/>
        <w:ind w:left="284" w:right="284"/>
        <w:jc w:val="both"/>
        <w:rPr>
          <w:rFonts w:ascii="Arial" w:eastAsia="Calibri" w:hAnsi="Arial" w:cs="Arial"/>
          <w:sz w:val="24"/>
          <w:szCs w:val="24"/>
        </w:rPr>
      </w:pPr>
      <w:r w:rsidRPr="00DC48F6">
        <w:rPr>
          <w:rFonts w:ascii="Arial" w:eastAsia="Calibri" w:hAnsi="Arial" w:cs="Arial"/>
          <w:bCs/>
          <w:sz w:val="24"/>
          <w:szCs w:val="24"/>
        </w:rPr>
        <w:t>ÚNICO.</w:t>
      </w:r>
      <w:r w:rsidRPr="00DC48F6">
        <w:rPr>
          <w:rFonts w:ascii="Arial" w:eastAsia="Calibri" w:hAnsi="Arial" w:cs="Arial"/>
          <w:sz w:val="24"/>
          <w:szCs w:val="24"/>
        </w:rPr>
        <w:t xml:space="preserve"> La Cámara de Diputados del </w:t>
      </w:r>
      <w:r>
        <w:rPr>
          <w:rFonts w:ascii="Arial" w:eastAsia="Calibri" w:hAnsi="Arial" w:cs="Arial"/>
          <w:sz w:val="24"/>
          <w:szCs w:val="24"/>
        </w:rPr>
        <w:t xml:space="preserve">H. </w:t>
      </w:r>
      <w:r w:rsidRPr="00DC48F6">
        <w:rPr>
          <w:rFonts w:ascii="Arial" w:eastAsia="Calibri" w:hAnsi="Arial" w:cs="Arial"/>
          <w:sz w:val="24"/>
          <w:szCs w:val="24"/>
        </w:rPr>
        <w:t>Congreso de la Unión, exhorta respetuosamente al Ejecutivo</w:t>
      </w:r>
      <w:r>
        <w:rPr>
          <w:rFonts w:ascii="Arial" w:eastAsia="Calibri" w:hAnsi="Arial" w:cs="Arial"/>
          <w:sz w:val="24"/>
          <w:szCs w:val="24"/>
        </w:rPr>
        <w:t xml:space="preserve"> federal, a través de la Secretaría de Relaciones Exteriores,</w:t>
      </w:r>
      <w:r w:rsidRPr="00DC48F6">
        <w:rPr>
          <w:rFonts w:ascii="Arial" w:eastAsia="Calibri" w:hAnsi="Arial" w:cs="Arial"/>
          <w:sz w:val="24"/>
          <w:szCs w:val="24"/>
        </w:rPr>
        <w:t xml:space="preserve"> para que</w:t>
      </w:r>
      <w:r>
        <w:rPr>
          <w:rFonts w:ascii="Arial" w:eastAsia="Calibri" w:hAnsi="Arial" w:cs="Arial"/>
          <w:sz w:val="24"/>
          <w:szCs w:val="24"/>
        </w:rPr>
        <w:t xml:space="preserve"> informe a esta Soberanía, y</w:t>
      </w:r>
      <w:r w:rsidRPr="00DC48F6">
        <w:rPr>
          <w:rFonts w:ascii="Arial" w:eastAsia="Calibri" w:hAnsi="Arial" w:cs="Arial"/>
          <w:sz w:val="24"/>
          <w:szCs w:val="24"/>
        </w:rPr>
        <w:t xml:space="preserve"> haga público</w:t>
      </w:r>
      <w:r>
        <w:rPr>
          <w:rFonts w:ascii="Arial" w:eastAsia="Calibri" w:hAnsi="Arial" w:cs="Arial"/>
          <w:sz w:val="24"/>
          <w:szCs w:val="24"/>
        </w:rPr>
        <w:t>,</w:t>
      </w:r>
      <w:r w:rsidRPr="00DC48F6">
        <w:rPr>
          <w:rFonts w:ascii="Arial" w:eastAsia="Calibri" w:hAnsi="Arial" w:cs="Arial"/>
          <w:sz w:val="24"/>
          <w:szCs w:val="24"/>
        </w:rPr>
        <w:t xml:space="preserve"> un informe detallado sobre el estado que guarda </w:t>
      </w:r>
      <w:r>
        <w:rPr>
          <w:rFonts w:ascii="Arial" w:eastAsia="Calibri" w:hAnsi="Arial" w:cs="Arial"/>
          <w:sz w:val="24"/>
          <w:szCs w:val="24"/>
        </w:rPr>
        <w:t xml:space="preserve">el proceso de consultas y </w:t>
      </w:r>
      <w:r w:rsidRPr="00DC48F6">
        <w:rPr>
          <w:rFonts w:ascii="Arial" w:eastAsia="Calibri" w:hAnsi="Arial" w:cs="Arial"/>
          <w:sz w:val="24"/>
          <w:szCs w:val="24"/>
        </w:rPr>
        <w:t xml:space="preserve">la firma </w:t>
      </w:r>
      <w:r>
        <w:rPr>
          <w:rFonts w:ascii="Arial" w:eastAsia="Calibri" w:hAnsi="Arial" w:cs="Arial"/>
          <w:sz w:val="24"/>
          <w:szCs w:val="24"/>
        </w:rPr>
        <w:t xml:space="preserve">concerniente a </w:t>
      </w:r>
      <w:r w:rsidRPr="00DC48F6">
        <w:rPr>
          <w:rFonts w:ascii="Arial" w:eastAsia="Calibri" w:hAnsi="Arial" w:cs="Arial"/>
          <w:sz w:val="24"/>
          <w:szCs w:val="24"/>
        </w:rPr>
        <w:t>la Convención Interamericana sobre la Protección de los Derechos Humanos de las Personas Mayores</w:t>
      </w:r>
      <w:r>
        <w:rPr>
          <w:rFonts w:ascii="Arial" w:eastAsia="Calibri" w:hAnsi="Arial" w:cs="Arial"/>
          <w:sz w:val="24"/>
          <w:szCs w:val="24"/>
        </w:rPr>
        <w:t>, adoptada por</w:t>
      </w:r>
      <w:r w:rsidRPr="00DC48F6">
        <w:rPr>
          <w:rFonts w:ascii="Arial" w:eastAsia="Calibri" w:hAnsi="Arial" w:cs="Arial"/>
          <w:sz w:val="24"/>
          <w:szCs w:val="24"/>
        </w:rPr>
        <w:t xml:space="preserve"> la Organización de Estados Americanos e</w:t>
      </w:r>
      <w:r>
        <w:rPr>
          <w:rFonts w:ascii="Arial" w:eastAsia="Calibri" w:hAnsi="Arial" w:cs="Arial"/>
          <w:sz w:val="24"/>
          <w:szCs w:val="24"/>
        </w:rPr>
        <w:t>l</w:t>
      </w:r>
      <w:r w:rsidRPr="00DC48F6">
        <w:rPr>
          <w:rFonts w:ascii="Arial" w:eastAsia="Calibri" w:hAnsi="Arial" w:cs="Arial"/>
          <w:sz w:val="24"/>
          <w:szCs w:val="24"/>
        </w:rPr>
        <w:t xml:space="preserve"> 15 de junio de 2015.  </w:t>
      </w:r>
    </w:p>
    <w:p w14:paraId="07F8732D" w14:textId="710DD871" w:rsidR="00DC48F6" w:rsidRPr="00297143" w:rsidRDefault="00DC48F6" w:rsidP="004948E0">
      <w:pPr>
        <w:spacing w:after="0" w:line="276" w:lineRule="auto"/>
        <w:jc w:val="both"/>
        <w:rPr>
          <w:rFonts w:ascii="Arial" w:eastAsia="Calibri" w:hAnsi="Arial" w:cs="Arial"/>
          <w:sz w:val="24"/>
          <w:szCs w:val="24"/>
        </w:rPr>
      </w:pPr>
    </w:p>
    <w:p w14:paraId="24246ED3" w14:textId="77777777" w:rsidR="006F48F8" w:rsidRDefault="006F48F8" w:rsidP="00C36793">
      <w:pPr>
        <w:spacing w:after="0" w:line="276" w:lineRule="auto"/>
        <w:jc w:val="both"/>
        <w:rPr>
          <w:rFonts w:ascii="Arial" w:eastAsia="Calibri" w:hAnsi="Arial" w:cs="Arial"/>
          <w:sz w:val="24"/>
          <w:szCs w:val="24"/>
        </w:rPr>
      </w:pPr>
    </w:p>
    <w:p w14:paraId="0F67DF9B" w14:textId="61D70741" w:rsidR="00C047D1" w:rsidRDefault="006F48F8" w:rsidP="00C36793">
      <w:pPr>
        <w:spacing w:after="0" w:line="276" w:lineRule="auto"/>
        <w:jc w:val="both"/>
        <w:rPr>
          <w:rFonts w:ascii="Arial" w:eastAsia="Calibri" w:hAnsi="Arial" w:cs="Arial"/>
          <w:b/>
          <w:bCs/>
          <w:sz w:val="24"/>
          <w:szCs w:val="24"/>
        </w:rPr>
      </w:pPr>
      <w:r>
        <w:rPr>
          <w:rFonts w:ascii="Arial" w:eastAsia="Calibri" w:hAnsi="Arial" w:cs="Arial"/>
          <w:sz w:val="24"/>
          <w:szCs w:val="24"/>
        </w:rPr>
        <w:t>En virtud de lo expuesto</w:t>
      </w:r>
      <w:r w:rsidR="00AC5506" w:rsidRPr="00AC5506">
        <w:rPr>
          <w:rFonts w:ascii="Arial" w:eastAsia="Calibri" w:hAnsi="Arial" w:cs="Arial"/>
          <w:sz w:val="24"/>
          <w:szCs w:val="24"/>
        </w:rPr>
        <w:t xml:space="preserve">, esta Comisión dictaminadora </w:t>
      </w:r>
      <w:r>
        <w:rPr>
          <w:rFonts w:ascii="Arial" w:eastAsia="Calibri" w:hAnsi="Arial" w:cs="Arial"/>
          <w:sz w:val="24"/>
          <w:szCs w:val="24"/>
        </w:rPr>
        <w:t>somete a consideración del pleno el siguiente</w:t>
      </w:r>
    </w:p>
    <w:p w14:paraId="1F255B14" w14:textId="77777777" w:rsidR="00C26D78" w:rsidRPr="00297143" w:rsidRDefault="00C26D78" w:rsidP="00C36793">
      <w:pPr>
        <w:spacing w:after="0" w:line="276" w:lineRule="auto"/>
        <w:jc w:val="both"/>
        <w:rPr>
          <w:rFonts w:ascii="Arial" w:eastAsia="Calibri" w:hAnsi="Arial" w:cs="Arial"/>
          <w:b/>
          <w:bCs/>
          <w:sz w:val="24"/>
          <w:szCs w:val="24"/>
        </w:rPr>
      </w:pPr>
    </w:p>
    <w:p w14:paraId="1EF9FF9F" w14:textId="76BE6D11" w:rsidR="00C047D1" w:rsidRPr="00297143" w:rsidRDefault="00716DEB" w:rsidP="00C36793">
      <w:pPr>
        <w:spacing w:after="0" w:line="276" w:lineRule="auto"/>
        <w:jc w:val="center"/>
        <w:rPr>
          <w:rFonts w:ascii="Arial" w:eastAsia="Calibri" w:hAnsi="Arial" w:cs="Arial"/>
          <w:b/>
          <w:bCs/>
          <w:sz w:val="24"/>
          <w:szCs w:val="24"/>
        </w:rPr>
      </w:pPr>
      <w:r>
        <w:rPr>
          <w:rFonts w:ascii="Arial" w:eastAsia="Calibri" w:hAnsi="Arial" w:cs="Arial"/>
          <w:b/>
          <w:bCs/>
          <w:sz w:val="24"/>
          <w:szCs w:val="24"/>
        </w:rPr>
        <w:t>ACUERDO</w:t>
      </w:r>
    </w:p>
    <w:p w14:paraId="0FFA2733" w14:textId="77777777" w:rsidR="00DC48F6" w:rsidRDefault="00DC48F6" w:rsidP="00DC48F6">
      <w:pPr>
        <w:spacing w:after="0" w:line="276" w:lineRule="auto"/>
        <w:jc w:val="both"/>
        <w:rPr>
          <w:rFonts w:ascii="Arial" w:eastAsia="Calibri" w:hAnsi="Arial" w:cs="Arial"/>
          <w:b/>
          <w:bCs/>
          <w:sz w:val="24"/>
          <w:szCs w:val="24"/>
        </w:rPr>
      </w:pPr>
    </w:p>
    <w:p w14:paraId="7D285963" w14:textId="0846D971" w:rsidR="00DC48F6" w:rsidRDefault="00DC48F6" w:rsidP="00DC48F6">
      <w:pPr>
        <w:spacing w:after="0" w:line="276" w:lineRule="auto"/>
        <w:jc w:val="both"/>
        <w:rPr>
          <w:rFonts w:ascii="Arial" w:eastAsia="Calibri" w:hAnsi="Arial" w:cs="Arial"/>
          <w:sz w:val="24"/>
          <w:szCs w:val="24"/>
        </w:rPr>
      </w:pPr>
      <w:r w:rsidRPr="00DC48F6">
        <w:rPr>
          <w:rFonts w:ascii="Arial" w:eastAsia="Calibri" w:hAnsi="Arial" w:cs="Arial"/>
          <w:b/>
          <w:bCs/>
          <w:sz w:val="24"/>
          <w:szCs w:val="24"/>
        </w:rPr>
        <w:t>ÚNICO.</w:t>
      </w:r>
      <w:r w:rsidRPr="00DC48F6">
        <w:rPr>
          <w:rFonts w:ascii="Arial" w:eastAsia="Calibri" w:hAnsi="Arial" w:cs="Arial"/>
          <w:sz w:val="24"/>
          <w:szCs w:val="24"/>
        </w:rPr>
        <w:t xml:space="preserve"> La Cámara de Diputados del </w:t>
      </w:r>
      <w:r>
        <w:rPr>
          <w:rFonts w:ascii="Arial" w:eastAsia="Calibri" w:hAnsi="Arial" w:cs="Arial"/>
          <w:sz w:val="24"/>
          <w:szCs w:val="24"/>
        </w:rPr>
        <w:t xml:space="preserve">H. </w:t>
      </w:r>
      <w:r w:rsidRPr="00DC48F6">
        <w:rPr>
          <w:rFonts w:ascii="Arial" w:eastAsia="Calibri" w:hAnsi="Arial" w:cs="Arial"/>
          <w:sz w:val="24"/>
          <w:szCs w:val="24"/>
        </w:rPr>
        <w:t>Congreso de la Unión exhorta respetuosamente al Ejecutivo</w:t>
      </w:r>
      <w:r>
        <w:rPr>
          <w:rFonts w:ascii="Arial" w:eastAsia="Calibri" w:hAnsi="Arial" w:cs="Arial"/>
          <w:sz w:val="24"/>
          <w:szCs w:val="24"/>
        </w:rPr>
        <w:t xml:space="preserve"> federal </w:t>
      </w:r>
      <w:r w:rsidR="00651057">
        <w:rPr>
          <w:rFonts w:ascii="Arial" w:eastAsia="Calibri" w:hAnsi="Arial" w:cs="Arial"/>
          <w:sz w:val="24"/>
          <w:szCs w:val="24"/>
        </w:rPr>
        <w:t>para que</w:t>
      </w:r>
      <w:r w:rsidR="00B72DF9">
        <w:rPr>
          <w:rFonts w:ascii="Arial" w:eastAsia="Calibri" w:hAnsi="Arial" w:cs="Arial"/>
          <w:sz w:val="24"/>
          <w:szCs w:val="24"/>
        </w:rPr>
        <w:t>,</w:t>
      </w:r>
      <w:r w:rsidR="00651057">
        <w:rPr>
          <w:rFonts w:ascii="Arial" w:eastAsia="Calibri" w:hAnsi="Arial" w:cs="Arial"/>
          <w:sz w:val="24"/>
          <w:szCs w:val="24"/>
        </w:rPr>
        <w:t xml:space="preserve"> </w:t>
      </w:r>
      <w:r>
        <w:rPr>
          <w:rFonts w:ascii="Arial" w:eastAsia="Calibri" w:hAnsi="Arial" w:cs="Arial"/>
          <w:sz w:val="24"/>
          <w:szCs w:val="24"/>
        </w:rPr>
        <w:t>a través de la Secretaría de Relaciones Exteriores,</w:t>
      </w:r>
      <w:r w:rsidRPr="00DC48F6">
        <w:rPr>
          <w:rFonts w:ascii="Arial" w:eastAsia="Calibri" w:hAnsi="Arial" w:cs="Arial"/>
          <w:sz w:val="24"/>
          <w:szCs w:val="24"/>
        </w:rPr>
        <w:t xml:space="preserve"> haga público </w:t>
      </w:r>
      <w:r w:rsidR="00146669">
        <w:rPr>
          <w:rFonts w:ascii="Arial" w:eastAsia="Calibri" w:hAnsi="Arial" w:cs="Arial"/>
          <w:sz w:val="24"/>
          <w:szCs w:val="24"/>
        </w:rPr>
        <w:t>un</w:t>
      </w:r>
      <w:r w:rsidRPr="00DC48F6">
        <w:rPr>
          <w:rFonts w:ascii="Arial" w:eastAsia="Calibri" w:hAnsi="Arial" w:cs="Arial"/>
          <w:sz w:val="24"/>
          <w:szCs w:val="24"/>
        </w:rPr>
        <w:t xml:space="preserve"> informe detallado sobre el estado que guarda </w:t>
      </w:r>
      <w:r>
        <w:rPr>
          <w:rFonts w:ascii="Arial" w:eastAsia="Calibri" w:hAnsi="Arial" w:cs="Arial"/>
          <w:sz w:val="24"/>
          <w:szCs w:val="24"/>
        </w:rPr>
        <w:t xml:space="preserve">el proceso de consultas y </w:t>
      </w:r>
      <w:r w:rsidRPr="00DC48F6">
        <w:rPr>
          <w:rFonts w:ascii="Arial" w:eastAsia="Calibri" w:hAnsi="Arial" w:cs="Arial"/>
          <w:sz w:val="24"/>
          <w:szCs w:val="24"/>
        </w:rPr>
        <w:t xml:space="preserve">la firma </w:t>
      </w:r>
      <w:r>
        <w:rPr>
          <w:rFonts w:ascii="Arial" w:eastAsia="Calibri" w:hAnsi="Arial" w:cs="Arial"/>
          <w:sz w:val="24"/>
          <w:szCs w:val="24"/>
        </w:rPr>
        <w:t xml:space="preserve">concerniente a </w:t>
      </w:r>
      <w:r w:rsidRPr="00DC48F6">
        <w:rPr>
          <w:rFonts w:ascii="Arial" w:eastAsia="Calibri" w:hAnsi="Arial" w:cs="Arial"/>
          <w:sz w:val="24"/>
          <w:szCs w:val="24"/>
        </w:rPr>
        <w:t>la Convención Interamericana sobre la Protección de los Derechos Humanos de las Personas Mayores</w:t>
      </w:r>
      <w:r>
        <w:rPr>
          <w:rFonts w:ascii="Arial" w:eastAsia="Calibri" w:hAnsi="Arial" w:cs="Arial"/>
          <w:sz w:val="24"/>
          <w:szCs w:val="24"/>
        </w:rPr>
        <w:t>, adoptada por</w:t>
      </w:r>
      <w:r w:rsidRPr="00DC48F6">
        <w:rPr>
          <w:rFonts w:ascii="Arial" w:eastAsia="Calibri" w:hAnsi="Arial" w:cs="Arial"/>
          <w:sz w:val="24"/>
          <w:szCs w:val="24"/>
        </w:rPr>
        <w:t xml:space="preserve"> la Organización de Estados Americanos e</w:t>
      </w:r>
      <w:r>
        <w:rPr>
          <w:rFonts w:ascii="Arial" w:eastAsia="Calibri" w:hAnsi="Arial" w:cs="Arial"/>
          <w:sz w:val="24"/>
          <w:szCs w:val="24"/>
        </w:rPr>
        <w:t>l</w:t>
      </w:r>
      <w:r w:rsidRPr="00DC48F6">
        <w:rPr>
          <w:rFonts w:ascii="Arial" w:eastAsia="Calibri" w:hAnsi="Arial" w:cs="Arial"/>
          <w:sz w:val="24"/>
          <w:szCs w:val="24"/>
        </w:rPr>
        <w:t xml:space="preserve"> 15 de junio de 2015.  </w:t>
      </w:r>
    </w:p>
    <w:p w14:paraId="77D04715" w14:textId="77777777" w:rsidR="00C047D1" w:rsidRPr="00297143" w:rsidRDefault="00C047D1" w:rsidP="00C36793">
      <w:pPr>
        <w:spacing w:after="0" w:line="276" w:lineRule="auto"/>
        <w:jc w:val="both"/>
        <w:rPr>
          <w:rFonts w:ascii="Arial" w:eastAsia="Calibri" w:hAnsi="Arial" w:cs="Arial"/>
          <w:b/>
          <w:bCs/>
          <w:sz w:val="24"/>
          <w:szCs w:val="24"/>
        </w:rPr>
      </w:pPr>
    </w:p>
    <w:p w14:paraId="26E52A63" w14:textId="025AD1F4" w:rsidR="005A78F5" w:rsidRDefault="005A78F5" w:rsidP="00C36793">
      <w:pPr>
        <w:spacing w:after="0" w:line="276" w:lineRule="auto"/>
        <w:jc w:val="both"/>
        <w:rPr>
          <w:rFonts w:ascii="Arial" w:eastAsia="Calibri" w:hAnsi="Arial" w:cs="Arial"/>
          <w:sz w:val="24"/>
          <w:szCs w:val="24"/>
        </w:rPr>
      </w:pPr>
    </w:p>
    <w:p w14:paraId="680BBAA1" w14:textId="77777777" w:rsidR="00742549" w:rsidRPr="00A02054" w:rsidRDefault="00742549" w:rsidP="00742549">
      <w:pPr>
        <w:pStyle w:val="NormalWeb"/>
        <w:shd w:val="clear" w:color="auto" w:fill="FFFFFF"/>
        <w:spacing w:line="360" w:lineRule="auto"/>
        <w:jc w:val="right"/>
        <w:rPr>
          <w:rFonts w:ascii="Arial" w:hAnsi="Arial" w:cs="Arial"/>
          <w:color w:val="000000"/>
        </w:rPr>
      </w:pPr>
      <w:r>
        <w:rPr>
          <w:rFonts w:ascii="Arial" w:hAnsi="Arial" w:cs="Arial"/>
          <w:color w:val="000000"/>
        </w:rPr>
        <w:t xml:space="preserve">Palacio Legislativo, </w:t>
      </w:r>
      <w:proofErr w:type="gramStart"/>
      <w:r>
        <w:rPr>
          <w:rFonts w:ascii="Arial" w:hAnsi="Arial" w:cs="Arial"/>
          <w:color w:val="000000"/>
        </w:rPr>
        <w:t>a</w:t>
      </w:r>
      <w:proofErr w:type="gramEnd"/>
      <w:r>
        <w:rPr>
          <w:rFonts w:ascii="Arial" w:hAnsi="Arial" w:cs="Arial"/>
          <w:color w:val="000000"/>
        </w:rPr>
        <w:t xml:space="preserve"> 11 de diciembre de 2020.</w:t>
      </w:r>
    </w:p>
    <w:p w14:paraId="71352D71" w14:textId="77777777" w:rsidR="005A78F5" w:rsidRDefault="005A78F5" w:rsidP="00C36793">
      <w:pPr>
        <w:spacing w:after="0" w:line="276" w:lineRule="auto"/>
        <w:jc w:val="both"/>
        <w:rPr>
          <w:rFonts w:ascii="Arial" w:eastAsia="Calibri" w:hAnsi="Arial" w:cs="Arial"/>
          <w:sz w:val="24"/>
          <w:szCs w:val="24"/>
        </w:rPr>
      </w:pPr>
      <w:bookmarkStart w:id="5" w:name="_GoBack"/>
      <w:bookmarkEnd w:id="5"/>
    </w:p>
    <w:p w14:paraId="67C14163" w14:textId="77777777" w:rsidR="00A4619C" w:rsidRDefault="00A4619C">
      <w:pPr>
        <w:rPr>
          <w:rFonts w:ascii="Arial" w:eastAsia="Calibri" w:hAnsi="Arial" w:cs="Arial"/>
          <w:b/>
          <w:color w:val="000000"/>
          <w:sz w:val="32"/>
          <w:szCs w:val="18"/>
          <w:highlight w:val="yellow"/>
          <w:shd w:val="clear" w:color="auto" w:fill="FFFFFF"/>
          <w:lang w:eastAsia="es-MX"/>
        </w:rPr>
      </w:pPr>
    </w:p>
    <w:p w14:paraId="3BB3AF04" w14:textId="0C08B62A" w:rsidR="00C36793" w:rsidRDefault="00C36793" w:rsidP="00A4619C">
      <w:pPr>
        <w:tabs>
          <w:tab w:val="left" w:pos="1020"/>
        </w:tabs>
        <w:rPr>
          <w:rFonts w:ascii="Arial" w:eastAsia="Calibri" w:hAnsi="Arial" w:cs="Arial"/>
          <w:b/>
          <w:color w:val="000000"/>
          <w:sz w:val="32"/>
          <w:szCs w:val="18"/>
          <w:highlight w:val="yellow"/>
          <w:shd w:val="clear" w:color="auto" w:fill="FFFFFF"/>
          <w:lang w:eastAsia="es-MX"/>
        </w:rPr>
      </w:pPr>
    </w:p>
    <w:sectPr w:rsidR="00C36793" w:rsidSect="0029714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94D5" w14:textId="77777777" w:rsidR="00803CA8" w:rsidRDefault="00803CA8" w:rsidP="004D5D86">
      <w:pPr>
        <w:spacing w:after="0" w:line="240" w:lineRule="auto"/>
      </w:pPr>
      <w:r>
        <w:separator/>
      </w:r>
    </w:p>
  </w:endnote>
  <w:endnote w:type="continuationSeparator" w:id="0">
    <w:p w14:paraId="19035D7A" w14:textId="77777777" w:rsidR="00803CA8" w:rsidRDefault="00803CA8"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1E64977B" w:rsidR="00B1699E" w:rsidRDefault="00B1699E">
        <w:pPr>
          <w:pStyle w:val="Piedepgina"/>
          <w:jc w:val="right"/>
        </w:pPr>
        <w:r>
          <w:fldChar w:fldCharType="begin"/>
        </w:r>
        <w:r>
          <w:instrText>PAGE   \* MERGEFORMAT</w:instrText>
        </w:r>
        <w:r>
          <w:fldChar w:fldCharType="separate"/>
        </w:r>
        <w:r w:rsidR="00742549" w:rsidRPr="00742549">
          <w:rPr>
            <w:noProof/>
            <w:lang w:val="es-ES"/>
          </w:rPr>
          <w:t>14</w:t>
        </w:r>
        <w:r>
          <w:fldChar w:fldCharType="end"/>
        </w:r>
      </w:p>
    </w:sdtContent>
  </w:sdt>
  <w:p w14:paraId="5A12F910" w14:textId="77777777" w:rsidR="00B1699E" w:rsidRDefault="00B169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41D5" w14:textId="77777777" w:rsidR="00803CA8" w:rsidRDefault="00803CA8" w:rsidP="004D5D86">
      <w:pPr>
        <w:spacing w:after="0" w:line="240" w:lineRule="auto"/>
      </w:pPr>
      <w:r>
        <w:separator/>
      </w:r>
    </w:p>
  </w:footnote>
  <w:footnote w:type="continuationSeparator" w:id="0">
    <w:p w14:paraId="33E5C59D" w14:textId="77777777" w:rsidR="00803CA8" w:rsidRDefault="00803CA8" w:rsidP="004D5D86">
      <w:pPr>
        <w:spacing w:after="0" w:line="240" w:lineRule="auto"/>
      </w:pPr>
      <w:r>
        <w:continuationSeparator/>
      </w:r>
    </w:p>
  </w:footnote>
  <w:footnote w:id="1">
    <w:p w14:paraId="1A2E81EA" w14:textId="41B62A8A" w:rsidR="00F21411" w:rsidRPr="00A769BE" w:rsidRDefault="00F21411" w:rsidP="00C20572">
      <w:pPr>
        <w:pStyle w:val="Textonotapie"/>
        <w:jc w:val="both"/>
        <w:rPr>
          <w:rFonts w:ascii="Arial" w:hAnsi="Arial" w:cs="Arial"/>
          <w:lang w:val="es-ES"/>
        </w:rPr>
      </w:pPr>
      <w:r w:rsidRPr="00A769BE">
        <w:rPr>
          <w:rStyle w:val="Refdenotaalpie"/>
          <w:rFonts w:ascii="Arial" w:hAnsi="Arial" w:cs="Arial"/>
        </w:rPr>
        <w:footnoteRef/>
      </w:r>
      <w:r w:rsidR="00321C5B" w:rsidRPr="00321C5B">
        <w:rPr>
          <w:rFonts w:ascii="Arial" w:hAnsi="Arial" w:cs="Arial"/>
        </w:rPr>
        <w:t xml:space="preserve">Senado de la República, </w:t>
      </w:r>
      <w:r w:rsidR="00321C5B">
        <w:rPr>
          <w:rFonts w:ascii="Arial" w:hAnsi="Arial" w:cs="Arial"/>
        </w:rPr>
        <w:t>en la Asamblea es a</w:t>
      </w:r>
      <w:r w:rsidR="00321C5B" w:rsidRPr="00321C5B">
        <w:rPr>
          <w:rFonts w:ascii="Arial" w:hAnsi="Arial" w:cs="Arial"/>
        </w:rPr>
        <w:t>probado en votación económica</w:t>
      </w:r>
      <w:r w:rsidRPr="00A769BE">
        <w:rPr>
          <w:rFonts w:ascii="Arial" w:hAnsi="Arial" w:cs="Arial"/>
        </w:rPr>
        <w:t xml:space="preserve"> </w:t>
      </w:r>
      <w:r w:rsidR="00321C5B">
        <w:rPr>
          <w:rFonts w:ascii="Arial" w:hAnsi="Arial" w:cs="Arial"/>
        </w:rPr>
        <w:t xml:space="preserve">y se turna a la Comisión de Derechos Humanos. </w:t>
      </w:r>
      <w:hyperlink r:id="rId1" w:history="1">
        <w:r w:rsidR="00321C5B" w:rsidRPr="006330AA">
          <w:rPr>
            <w:rStyle w:val="Hipervnculo"/>
            <w:rFonts w:ascii="Arial" w:hAnsi="Arial" w:cs="Arial"/>
          </w:rPr>
          <w:t>https://www.senado.gob.mx/64/gaceta_del_senado/documento/94813</w:t>
        </w:r>
      </w:hyperlink>
    </w:p>
  </w:footnote>
  <w:footnote w:id="2">
    <w:p w14:paraId="36656484" w14:textId="30B80D3E" w:rsidR="00A769BE" w:rsidRDefault="00A769BE" w:rsidP="00C20572">
      <w:pPr>
        <w:pStyle w:val="Textonotapie"/>
        <w:jc w:val="both"/>
        <w:rPr>
          <w:rFonts w:ascii="Arial" w:hAnsi="Arial" w:cs="Arial"/>
        </w:rPr>
      </w:pPr>
      <w:r w:rsidRPr="00A769BE">
        <w:rPr>
          <w:rStyle w:val="Refdenotaalpie"/>
          <w:rFonts w:ascii="Arial" w:hAnsi="Arial" w:cs="Arial"/>
        </w:rPr>
        <w:footnoteRef/>
      </w:r>
      <w:r w:rsidRPr="00A769BE">
        <w:rPr>
          <w:rFonts w:ascii="Arial" w:hAnsi="Arial" w:cs="Arial"/>
        </w:rPr>
        <w:t xml:space="preserve"> </w:t>
      </w:r>
      <w:r w:rsidR="00321C5B">
        <w:rPr>
          <w:rFonts w:ascii="Arial" w:hAnsi="Arial" w:cs="Arial"/>
        </w:rPr>
        <w:t xml:space="preserve">Senado de la República, </w:t>
      </w:r>
      <w:r w:rsidR="00321C5B" w:rsidRPr="002B5536">
        <w:rPr>
          <w:rFonts w:ascii="Arial" w:hAnsi="Arial" w:cs="Arial"/>
          <w:b/>
          <w:bCs/>
        </w:rPr>
        <w:t>Dictamen de la Comisión de Derechos Humanos, 11 de abril de 2019,</w:t>
      </w:r>
      <w:r w:rsidR="00321C5B">
        <w:rPr>
          <w:rFonts w:ascii="Arial" w:hAnsi="Arial" w:cs="Arial"/>
        </w:rPr>
        <w:t xml:space="preserve"> Consulta; 10 de noviembre de 2020, Disponible; </w:t>
      </w:r>
      <w:hyperlink r:id="rId2" w:history="1">
        <w:r w:rsidR="00321C5B" w:rsidRPr="006330AA">
          <w:rPr>
            <w:rStyle w:val="Hipervnculo"/>
            <w:rFonts w:ascii="Arial" w:hAnsi="Arial" w:cs="Arial"/>
          </w:rPr>
          <w:t>https://infosen.senado.gob.mx/sgsp/gaceta/64/1/2019-04-25-1/assets/documentos/Dict_DH_5_dic15_de_junio.pdf</w:t>
        </w:r>
      </w:hyperlink>
    </w:p>
    <w:p w14:paraId="535D2F25" w14:textId="77777777" w:rsidR="00321C5B" w:rsidRPr="00A769BE" w:rsidRDefault="00321C5B">
      <w:pPr>
        <w:pStyle w:val="Textonotapie"/>
        <w:rPr>
          <w:lang w:val="es-ES"/>
        </w:rPr>
      </w:pPr>
    </w:p>
  </w:footnote>
  <w:footnote w:id="3">
    <w:p w14:paraId="086F45A1" w14:textId="79EA3658" w:rsidR="00A64B90" w:rsidRPr="0040154C" w:rsidRDefault="00A64B90">
      <w:pPr>
        <w:pStyle w:val="Textonotapie"/>
        <w:rPr>
          <w:rFonts w:ascii="Arial" w:hAnsi="Arial" w:cs="Arial"/>
          <w:lang w:val="es-ES"/>
        </w:rPr>
      </w:pPr>
      <w:r w:rsidRPr="0040154C">
        <w:rPr>
          <w:rStyle w:val="Refdenotaalpie"/>
          <w:rFonts w:ascii="Arial" w:hAnsi="Arial" w:cs="Arial"/>
        </w:rPr>
        <w:footnoteRef/>
      </w:r>
      <w:r w:rsidR="00057D20" w:rsidRPr="0040154C">
        <w:rPr>
          <w:rFonts w:ascii="Arial" w:hAnsi="Arial" w:cs="Arial"/>
          <w:lang w:val="es-ES"/>
        </w:rPr>
        <w:t xml:space="preserve">Senado de la República, Gaceta del día Jueves 11 de octubre de 2018, consulta 28 de octubre de 2020, Disponible en: </w:t>
      </w:r>
      <w:hyperlink r:id="rId3" w:history="1">
        <w:r w:rsidR="00251253" w:rsidRPr="0040154C">
          <w:rPr>
            <w:rStyle w:val="Hipervnculo"/>
            <w:rFonts w:ascii="Arial" w:hAnsi="Arial" w:cs="Arial"/>
            <w:lang w:val="es-ES"/>
          </w:rPr>
          <w:t>https://www.senado.gob.mx/64/gaceta_del_senado/documento/84334</w:t>
        </w:r>
      </w:hyperlink>
    </w:p>
    <w:p w14:paraId="1F3A194F" w14:textId="77777777" w:rsidR="00251253" w:rsidRPr="00057D20" w:rsidRDefault="00251253">
      <w:pPr>
        <w:pStyle w:val="Textonotapie"/>
        <w:rPr>
          <w:rFonts w:ascii="Arial" w:hAnsi="Arial" w:cs="Arial"/>
          <w:sz w:val="16"/>
          <w:szCs w:val="16"/>
          <w:lang w:val="es-ES"/>
        </w:rPr>
      </w:pPr>
    </w:p>
  </w:footnote>
  <w:footnote w:id="4">
    <w:p w14:paraId="52ABDF76" w14:textId="27BC1630" w:rsidR="00853F19" w:rsidRDefault="00EA5309">
      <w:pPr>
        <w:pStyle w:val="Textonotapie"/>
        <w:rPr>
          <w:rFonts w:ascii="Arial" w:hAnsi="Arial" w:cs="Arial"/>
        </w:rPr>
      </w:pPr>
      <w:r w:rsidRPr="00647818">
        <w:rPr>
          <w:rStyle w:val="Refdenotaalpie"/>
          <w:rFonts w:ascii="Arial" w:hAnsi="Arial" w:cs="Arial"/>
        </w:rPr>
        <w:footnoteRef/>
      </w:r>
      <w:r w:rsidRPr="00647818">
        <w:rPr>
          <w:rFonts w:ascii="Arial" w:hAnsi="Arial" w:cs="Arial"/>
        </w:rPr>
        <w:t xml:space="preserve"> Secretaria de </w:t>
      </w:r>
      <w:r w:rsidR="000E722B" w:rsidRPr="00647818">
        <w:rPr>
          <w:rFonts w:ascii="Arial" w:hAnsi="Arial" w:cs="Arial"/>
        </w:rPr>
        <w:t>G</w:t>
      </w:r>
      <w:r w:rsidRPr="00647818">
        <w:rPr>
          <w:rFonts w:ascii="Arial" w:hAnsi="Arial" w:cs="Arial"/>
        </w:rPr>
        <w:t xml:space="preserve">obernación, Respuesta, </w:t>
      </w:r>
      <w:r w:rsidR="000D75B3" w:rsidRPr="00647818">
        <w:rPr>
          <w:rFonts w:ascii="Arial" w:hAnsi="Arial" w:cs="Arial"/>
        </w:rPr>
        <w:t>4 de julio 2019, C</w:t>
      </w:r>
      <w:r w:rsidRPr="00647818">
        <w:rPr>
          <w:rFonts w:ascii="Arial" w:hAnsi="Arial" w:cs="Arial"/>
        </w:rPr>
        <w:t xml:space="preserve">onsulta 29 de octubre de 2020, disponible en: </w:t>
      </w:r>
      <w:hyperlink r:id="rId4" w:history="1">
        <w:r w:rsidR="00647818" w:rsidRPr="006330AA">
          <w:rPr>
            <w:rStyle w:val="Hipervnculo"/>
            <w:rFonts w:ascii="Arial" w:hAnsi="Arial" w:cs="Arial"/>
          </w:rPr>
          <w:t>file:///C:/Users/toshiba/Desktop/DICTAMENES%201020/DICTAMEN%20PA%20301020/DIP%20RUBEN%20MOREIRA/RESPUESTA%20DGPL_2P1A_7416_SRE_DERECHOS.pdf</w:t>
        </w:r>
      </w:hyperlink>
    </w:p>
    <w:p w14:paraId="712F9C6F" w14:textId="77777777" w:rsidR="00647818" w:rsidRPr="00647818" w:rsidRDefault="00647818">
      <w:pPr>
        <w:pStyle w:val="Textonotapie"/>
        <w:rPr>
          <w:rFonts w:ascii="Arial" w:hAnsi="Arial" w:cs="Arial"/>
        </w:rPr>
      </w:pPr>
    </w:p>
    <w:p w14:paraId="05DE7DA3" w14:textId="77777777" w:rsidR="001D4ECE" w:rsidRDefault="001D4ECE">
      <w:pPr>
        <w:pStyle w:val="Textonotapie"/>
        <w:rPr>
          <w:rFonts w:ascii="Arial" w:hAnsi="Arial" w:cs="Arial"/>
          <w:sz w:val="16"/>
          <w:szCs w:val="16"/>
        </w:rPr>
      </w:pPr>
    </w:p>
    <w:p w14:paraId="7DA9A4A6" w14:textId="77777777" w:rsidR="00853F19" w:rsidRDefault="00853F19">
      <w:pPr>
        <w:pStyle w:val="Textonotapie"/>
        <w:rPr>
          <w:rFonts w:ascii="Arial" w:hAnsi="Arial" w:cs="Arial"/>
          <w:sz w:val="16"/>
          <w:szCs w:val="16"/>
        </w:rPr>
      </w:pPr>
    </w:p>
    <w:p w14:paraId="68553117" w14:textId="77777777" w:rsidR="000D75B3" w:rsidRPr="000E722B" w:rsidRDefault="000D75B3">
      <w:pPr>
        <w:pStyle w:val="Textonotapie"/>
        <w:rPr>
          <w:rFonts w:ascii="Arial" w:hAnsi="Arial" w:cs="Arial"/>
          <w:lang w:val="es-ES"/>
        </w:rPr>
      </w:pPr>
    </w:p>
  </w:footnote>
  <w:footnote w:id="5">
    <w:p w14:paraId="5BDE1A61" w14:textId="77777777" w:rsidR="006601F5" w:rsidRPr="00036395" w:rsidRDefault="006601F5" w:rsidP="006601F5">
      <w:pPr>
        <w:pStyle w:val="Textonotapie"/>
        <w:jc w:val="both"/>
        <w:rPr>
          <w:rFonts w:ascii="Arial" w:hAnsi="Arial" w:cs="Arial"/>
          <w:lang w:val="es-ES"/>
        </w:rPr>
      </w:pPr>
      <w:r w:rsidRPr="002D3A84">
        <w:rPr>
          <w:rStyle w:val="Refdenotaalpie"/>
          <w:rFonts w:ascii="Arial" w:hAnsi="Arial" w:cs="Arial"/>
          <w:sz w:val="16"/>
          <w:szCs w:val="16"/>
        </w:rPr>
        <w:footnoteRef/>
      </w:r>
      <w:r w:rsidRPr="002D3A84">
        <w:rPr>
          <w:rFonts w:ascii="Arial" w:hAnsi="Arial" w:cs="Arial"/>
          <w:sz w:val="16"/>
          <w:szCs w:val="16"/>
        </w:rPr>
        <w:t xml:space="preserve"> Senado de la República, Comisión de Derechos Humanos, Consulta 29 de octubre de 2020, Disponible en:   https://www.senado.gob.mx/64/gaceta_del_senado/documento/94813</w:t>
      </w:r>
    </w:p>
  </w:footnote>
  <w:footnote w:id="6">
    <w:p w14:paraId="175B25B1" w14:textId="29E2FBEC" w:rsidR="00925561" w:rsidRPr="00022C81" w:rsidRDefault="00925561" w:rsidP="00925561">
      <w:pPr>
        <w:pStyle w:val="Textonotapie"/>
        <w:rPr>
          <w:rFonts w:ascii="Arial" w:hAnsi="Arial" w:cs="Arial"/>
          <w:sz w:val="16"/>
          <w:szCs w:val="16"/>
          <w:lang w:val="es-ES"/>
        </w:rPr>
      </w:pPr>
      <w:r w:rsidRPr="00577330">
        <w:rPr>
          <w:rStyle w:val="Refdenotaalpie"/>
          <w:rFonts w:ascii="Arial" w:hAnsi="Arial" w:cs="Arial"/>
          <w:sz w:val="16"/>
          <w:szCs w:val="16"/>
        </w:rPr>
        <w:footnoteRef/>
      </w:r>
      <w:r w:rsidRPr="00577330">
        <w:rPr>
          <w:rFonts w:ascii="Arial" w:hAnsi="Arial" w:cs="Arial"/>
          <w:sz w:val="16"/>
          <w:szCs w:val="16"/>
        </w:rPr>
        <w:t xml:space="preserve"> Derechos Humanos pide ratificar Convención en pro de adultos mayores, NOTIMEX, 11 de octubre de 2018, Consulta, 29 de octubre de 2020, Disponible en: https://www.20minutos.com.mx/noticia/430779/0/derechos-humanos-pide-ratificar-</w:t>
      </w:r>
      <w:r w:rsidRPr="00022C81">
        <w:rPr>
          <w:rFonts w:ascii="Arial" w:hAnsi="Arial" w:cs="Arial"/>
          <w:sz w:val="16"/>
          <w:szCs w:val="16"/>
        </w:rPr>
        <w:t>convencion-en-pro-de-adultos-mayores/</w:t>
      </w:r>
    </w:p>
  </w:footnote>
  <w:footnote w:id="7">
    <w:p w14:paraId="4D7A048A" w14:textId="4364E949" w:rsidR="00D2348F" w:rsidRPr="00D2348F" w:rsidRDefault="00D2348F" w:rsidP="00D2348F">
      <w:pPr>
        <w:pStyle w:val="Textonotapie"/>
        <w:jc w:val="both"/>
        <w:rPr>
          <w:lang w:val="es-ES"/>
        </w:rPr>
      </w:pPr>
      <w:r w:rsidRPr="00022C81">
        <w:rPr>
          <w:rStyle w:val="Refdenotaalpie"/>
          <w:rFonts w:ascii="Arial" w:hAnsi="Arial" w:cs="Arial"/>
          <w:sz w:val="16"/>
          <w:szCs w:val="16"/>
        </w:rPr>
        <w:footnoteRef/>
      </w:r>
      <w:r w:rsidRPr="00022C81">
        <w:rPr>
          <w:rFonts w:ascii="Arial" w:hAnsi="Arial" w:cs="Arial"/>
          <w:sz w:val="16"/>
          <w:szCs w:val="16"/>
        </w:rPr>
        <w:t xml:space="preserve"> México debe firmar Convención Interamericana sobre Protección de Derechos Humanos de Personas Mayores: Boletín UNAM-DGCS-386, Ciudad universitaria, 15 de junio de 2018, Consulta; 09 de noviembre de 2020, </w:t>
      </w:r>
      <w:r w:rsidR="00022C81" w:rsidRPr="00022C81">
        <w:rPr>
          <w:rFonts w:ascii="Arial" w:hAnsi="Arial" w:cs="Arial"/>
          <w:sz w:val="16"/>
          <w:szCs w:val="16"/>
        </w:rPr>
        <w:t>Disponible</w:t>
      </w:r>
      <w:r w:rsidR="00022C81">
        <w:rPr>
          <w:rFonts w:ascii="Arial" w:hAnsi="Arial" w:cs="Arial"/>
          <w:sz w:val="16"/>
          <w:szCs w:val="16"/>
        </w:rPr>
        <w:t xml:space="preserve"> </w:t>
      </w:r>
      <w:r w:rsidRPr="00022C81">
        <w:rPr>
          <w:rFonts w:ascii="Arial" w:hAnsi="Arial" w:cs="Arial"/>
          <w:sz w:val="16"/>
          <w:szCs w:val="16"/>
        </w:rPr>
        <w:t>en: https://www.dgcs.unam.mx/boletin/bdboletin/2018_386.html</w:t>
      </w:r>
    </w:p>
  </w:footnote>
  <w:footnote w:id="8">
    <w:p w14:paraId="0C90F2C8" w14:textId="27FDEFF0" w:rsidR="00577330" w:rsidRPr="00577330" w:rsidRDefault="00577330">
      <w:pPr>
        <w:pStyle w:val="Textonotapie"/>
        <w:rPr>
          <w:rFonts w:ascii="Arial" w:hAnsi="Arial" w:cs="Arial"/>
          <w:lang w:val="es-ES"/>
        </w:rPr>
      </w:pPr>
      <w:r w:rsidRPr="00577330">
        <w:rPr>
          <w:rStyle w:val="Refdenotaalpie"/>
          <w:rFonts w:ascii="Arial" w:hAnsi="Arial" w:cs="Arial"/>
          <w:sz w:val="16"/>
          <w:szCs w:val="16"/>
        </w:rPr>
        <w:footnoteRef/>
      </w:r>
      <w:r w:rsidRPr="00577330">
        <w:rPr>
          <w:rFonts w:ascii="Arial" w:hAnsi="Arial" w:cs="Arial"/>
          <w:sz w:val="16"/>
          <w:szCs w:val="16"/>
        </w:rPr>
        <w:t xml:space="preserve"> </w:t>
      </w:r>
      <w:r w:rsidRPr="00577330">
        <w:rPr>
          <w:rFonts w:ascii="Arial" w:hAnsi="Arial" w:cs="Arial"/>
          <w:sz w:val="16"/>
          <w:szCs w:val="16"/>
          <w:lang w:val="es-ES"/>
        </w:rPr>
        <w:t>Organización de las Naciones Unidas</w:t>
      </w:r>
      <w:r>
        <w:rPr>
          <w:rFonts w:ascii="Arial" w:hAnsi="Arial" w:cs="Arial"/>
          <w:sz w:val="16"/>
          <w:szCs w:val="16"/>
          <w:lang w:val="es-ES"/>
        </w:rPr>
        <w:t xml:space="preserve"> (ONU)</w:t>
      </w:r>
      <w:r w:rsidRPr="00577330">
        <w:rPr>
          <w:rFonts w:ascii="Arial" w:hAnsi="Arial" w:cs="Arial"/>
          <w:sz w:val="16"/>
          <w:szCs w:val="16"/>
          <w:lang w:val="es-ES"/>
        </w:rPr>
        <w:t>,</w:t>
      </w:r>
      <w:r>
        <w:rPr>
          <w:rFonts w:ascii="Arial" w:hAnsi="Arial" w:cs="Arial"/>
          <w:sz w:val="16"/>
          <w:szCs w:val="16"/>
          <w:lang w:val="es-ES"/>
        </w:rPr>
        <w:t xml:space="preserve"> Las Personas Mayores tienen el mismo derecho a la vida que los demás durante y </w:t>
      </w:r>
      <w:r w:rsidR="005A78F5">
        <w:rPr>
          <w:rFonts w:ascii="Arial" w:hAnsi="Arial" w:cs="Arial"/>
          <w:sz w:val="16"/>
          <w:szCs w:val="16"/>
          <w:lang w:val="es-ES"/>
        </w:rPr>
        <w:t>después</w:t>
      </w:r>
      <w:r>
        <w:rPr>
          <w:rFonts w:ascii="Arial" w:hAnsi="Arial" w:cs="Arial"/>
          <w:sz w:val="16"/>
          <w:szCs w:val="16"/>
          <w:lang w:val="es-ES"/>
        </w:rPr>
        <w:t xml:space="preserve"> del Coronavirus, </w:t>
      </w:r>
      <w:r w:rsidRPr="00577330">
        <w:rPr>
          <w:rFonts w:ascii="Arial" w:hAnsi="Arial" w:cs="Arial"/>
          <w:sz w:val="16"/>
          <w:szCs w:val="16"/>
          <w:lang w:val="es-ES"/>
        </w:rPr>
        <w:t>1 de mayo de 2020, Consulta 29 de octubre de 2020. Disponible en</w:t>
      </w:r>
      <w:r>
        <w:rPr>
          <w:rFonts w:ascii="Arial" w:hAnsi="Arial" w:cs="Arial"/>
          <w:sz w:val="16"/>
          <w:szCs w:val="16"/>
          <w:lang w:val="es-ES"/>
        </w:rPr>
        <w:t xml:space="preserve">: </w:t>
      </w:r>
      <w:r w:rsidRPr="00577330">
        <w:rPr>
          <w:rFonts w:ascii="Arial" w:hAnsi="Arial" w:cs="Arial"/>
          <w:sz w:val="16"/>
          <w:szCs w:val="16"/>
          <w:lang w:val="es-ES"/>
        </w:rPr>
        <w:t>https://news.un.org/es/story/2020/05/1473762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4D5D86" w:rsidRDefault="00E518A0"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sidR="00733B43">
      <w:rPr>
        <w:rFonts w:ascii="Arial" w:eastAsia="Arial" w:hAnsi="Arial" w:cs="Arial"/>
        <w:b/>
        <w:sz w:val="28"/>
      </w:rPr>
      <w:tab/>
    </w:r>
    <w:r w:rsidR="004D5D86">
      <w:rPr>
        <w:rFonts w:ascii="Arial" w:eastAsia="Arial" w:hAnsi="Arial" w:cs="Arial"/>
        <w:b/>
        <w:sz w:val="28"/>
      </w:rPr>
      <w:t>COMISIÓN DE RELACIONES EXTERIORES</w:t>
    </w:r>
  </w:p>
  <w:p w14:paraId="359FE9E1" w14:textId="336AB553" w:rsidR="004D5D86" w:rsidRDefault="004D5D86" w:rsidP="00297143">
    <w:pPr>
      <w:spacing w:after="0" w:line="240" w:lineRule="auto"/>
      <w:ind w:left="5808" w:right="12"/>
      <w:rPr>
        <w:sz w:val="20"/>
      </w:rPr>
    </w:pPr>
    <w:r>
      <w:rPr>
        <w:sz w:val="20"/>
      </w:rPr>
      <w:t xml:space="preserve">           </w:t>
    </w:r>
  </w:p>
  <w:p w14:paraId="2C038E24" w14:textId="244EDE03" w:rsidR="00F405C9" w:rsidRPr="002F53CE" w:rsidRDefault="00664C0E" w:rsidP="00327472">
    <w:pPr>
      <w:spacing w:after="0" w:line="240" w:lineRule="auto"/>
      <w:ind w:left="5806" w:right="11"/>
      <w:jc w:val="both"/>
      <w:rPr>
        <w:rFonts w:ascii="Arial" w:hAnsi="Arial" w:cs="Arial"/>
        <w:sz w:val="14"/>
        <w:szCs w:val="18"/>
      </w:rPr>
    </w:pPr>
    <w:bookmarkStart w:id="6" w:name="_Hlk56100082"/>
    <w:r>
      <w:rPr>
        <w:rFonts w:ascii="Arial" w:hAnsi="Arial" w:cs="Arial"/>
        <w:sz w:val="18"/>
        <w:szCs w:val="18"/>
      </w:rPr>
      <w:t xml:space="preserve">DICTAMEN </w:t>
    </w:r>
    <w:bookmarkStart w:id="7" w:name="_Hlk54631360"/>
    <w:r w:rsidR="00916D4D">
      <w:rPr>
        <w:rFonts w:ascii="Arial" w:hAnsi="Arial" w:cs="Arial"/>
        <w:sz w:val="18"/>
        <w:szCs w:val="18"/>
      </w:rPr>
      <w:t>CON PUNTO DE ACUERDO</w:t>
    </w:r>
    <w:r w:rsidR="001E52D2">
      <w:rPr>
        <w:rFonts w:ascii="Arial" w:hAnsi="Arial" w:cs="Arial"/>
        <w:sz w:val="18"/>
        <w:szCs w:val="18"/>
      </w:rPr>
      <w:t>,</w:t>
    </w:r>
    <w:r w:rsidR="00916D4D">
      <w:rPr>
        <w:rFonts w:ascii="Arial" w:hAnsi="Arial" w:cs="Arial"/>
        <w:sz w:val="18"/>
        <w:szCs w:val="18"/>
      </w:rPr>
      <w:t xml:space="preserve"> RELATIVO AL </w:t>
    </w:r>
    <w:r w:rsidR="002F53CE" w:rsidRPr="002F53CE">
      <w:rPr>
        <w:rFonts w:ascii="Arial" w:hAnsi="Arial" w:cs="Arial"/>
        <w:sz w:val="18"/>
      </w:rPr>
      <w:t xml:space="preserve">PROCESO DE FIRMA Y RATIFICACIÓN DE LA </w:t>
    </w:r>
    <w:bookmarkStart w:id="8" w:name="_Hlk55929920"/>
    <w:r w:rsidR="002F53CE" w:rsidRPr="002F53CE">
      <w:rPr>
        <w:rFonts w:ascii="Arial" w:hAnsi="Arial" w:cs="Arial"/>
        <w:sz w:val="18"/>
      </w:rPr>
      <w:t>CONVENCIÓN INTERAMERICANA SOBRE LA PROTECCIÓN DE LOS DERECHOS HUMANOS DE LAS PERSONAS MAYORES</w:t>
    </w:r>
    <w:bookmarkEnd w:id="8"/>
    <w:r w:rsidR="002F53CE">
      <w:rPr>
        <w:rFonts w:ascii="Arial" w:hAnsi="Arial" w:cs="Arial"/>
        <w:sz w:val="18"/>
      </w:rPr>
      <w:t>.</w:t>
    </w:r>
    <w:bookmarkEnd w:id="7"/>
  </w:p>
  <w:bookmarkEnd w:id="6"/>
  <w:p w14:paraId="7D8AB8C8" w14:textId="77777777" w:rsidR="003F48CD" w:rsidRPr="002F53CE" w:rsidRDefault="003F48CD" w:rsidP="001038F1">
    <w:pPr>
      <w:spacing w:after="0" w:line="240" w:lineRule="auto"/>
      <w:ind w:left="5806" w:right="11"/>
      <w:jc w:val="both"/>
      <w:rPr>
        <w:rFonts w:ascii="Arial" w:hAnsi="Arial" w:cs="Arial"/>
        <w:sz w:val="1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313566"/>
    <w:multiLevelType w:val="multilevel"/>
    <w:tmpl w:val="AD66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502B9C"/>
    <w:multiLevelType w:val="multilevel"/>
    <w:tmpl w:val="8C8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153A5"/>
    <w:multiLevelType w:val="hybridMultilevel"/>
    <w:tmpl w:val="2036356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91C0650"/>
    <w:multiLevelType w:val="hybridMultilevel"/>
    <w:tmpl w:val="ADC4E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CF11129"/>
    <w:multiLevelType w:val="hybridMultilevel"/>
    <w:tmpl w:val="1A2099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CB030F"/>
    <w:multiLevelType w:val="multilevel"/>
    <w:tmpl w:val="0EF2B02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D535F5"/>
    <w:multiLevelType w:val="hybridMultilevel"/>
    <w:tmpl w:val="5C3E204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1C76FF"/>
    <w:multiLevelType w:val="hybridMultilevel"/>
    <w:tmpl w:val="0590BFA2"/>
    <w:lvl w:ilvl="0" w:tplc="0C0A000F">
      <w:start w:val="2"/>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304B68D7"/>
    <w:multiLevelType w:val="hybridMultilevel"/>
    <w:tmpl w:val="1FA69990"/>
    <w:lvl w:ilvl="0" w:tplc="8100621A">
      <w:start w:val="3"/>
      <w:numFmt w:val="bullet"/>
      <w:lvlText w:val="-"/>
      <w:lvlJc w:val="left"/>
      <w:pPr>
        <w:ind w:left="720" w:hanging="360"/>
      </w:pPr>
      <w:rPr>
        <w:rFonts w:ascii="Arial" w:eastAsia="Calibri" w:hAnsi="Arial" w:cs="Aria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8F7024"/>
    <w:multiLevelType w:val="hybridMultilevel"/>
    <w:tmpl w:val="514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10C31"/>
    <w:multiLevelType w:val="hybridMultilevel"/>
    <w:tmpl w:val="FD7880CA"/>
    <w:lvl w:ilvl="0" w:tplc="5650A0E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8306B2"/>
    <w:multiLevelType w:val="hybridMultilevel"/>
    <w:tmpl w:val="79620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ED7A30"/>
    <w:multiLevelType w:val="multilevel"/>
    <w:tmpl w:val="68ECA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C4487"/>
    <w:multiLevelType w:val="hybridMultilevel"/>
    <w:tmpl w:val="C8002A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7"/>
  </w:num>
  <w:num w:numId="4">
    <w:abstractNumId w:val="5"/>
  </w:num>
  <w:num w:numId="5">
    <w:abstractNumId w:val="14"/>
  </w:num>
  <w:num w:numId="6">
    <w:abstractNumId w:val="12"/>
  </w:num>
  <w:num w:numId="7">
    <w:abstractNumId w:val="9"/>
  </w:num>
  <w:num w:numId="8">
    <w:abstractNumId w:val="7"/>
  </w:num>
  <w:num w:numId="9">
    <w:abstractNumId w:val="4"/>
  </w:num>
  <w:num w:numId="10">
    <w:abstractNumId w:val="1"/>
  </w:num>
  <w:num w:numId="11">
    <w:abstractNumId w:val="15"/>
  </w:num>
  <w:num w:numId="12">
    <w:abstractNumId w:val="16"/>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12045"/>
    <w:rsid w:val="00017CE9"/>
    <w:rsid w:val="00022B9C"/>
    <w:rsid w:val="00022C81"/>
    <w:rsid w:val="00035960"/>
    <w:rsid w:val="00036395"/>
    <w:rsid w:val="00057D20"/>
    <w:rsid w:val="00065FE0"/>
    <w:rsid w:val="000723CA"/>
    <w:rsid w:val="00082902"/>
    <w:rsid w:val="00082C03"/>
    <w:rsid w:val="00087471"/>
    <w:rsid w:val="00096376"/>
    <w:rsid w:val="000A7730"/>
    <w:rsid w:val="000C6E4E"/>
    <w:rsid w:val="000D75B3"/>
    <w:rsid w:val="000E1E5E"/>
    <w:rsid w:val="000E2588"/>
    <w:rsid w:val="000E722B"/>
    <w:rsid w:val="000F5040"/>
    <w:rsid w:val="000F66EC"/>
    <w:rsid w:val="000F7D89"/>
    <w:rsid w:val="001038F1"/>
    <w:rsid w:val="00120AFE"/>
    <w:rsid w:val="00120B61"/>
    <w:rsid w:val="00123EE7"/>
    <w:rsid w:val="00131847"/>
    <w:rsid w:val="00135853"/>
    <w:rsid w:val="001374FC"/>
    <w:rsid w:val="00137B36"/>
    <w:rsid w:val="00137B92"/>
    <w:rsid w:val="00146669"/>
    <w:rsid w:val="00156717"/>
    <w:rsid w:val="00170871"/>
    <w:rsid w:val="00177A28"/>
    <w:rsid w:val="001908A1"/>
    <w:rsid w:val="001D4ECE"/>
    <w:rsid w:val="001E52D2"/>
    <w:rsid w:val="002222D7"/>
    <w:rsid w:val="00245A33"/>
    <w:rsid w:val="002503B5"/>
    <w:rsid w:val="00251253"/>
    <w:rsid w:val="002630FB"/>
    <w:rsid w:val="00266311"/>
    <w:rsid w:val="00277076"/>
    <w:rsid w:val="00286729"/>
    <w:rsid w:val="00287D6D"/>
    <w:rsid w:val="00291E3D"/>
    <w:rsid w:val="00294F77"/>
    <w:rsid w:val="00297143"/>
    <w:rsid w:val="00297A94"/>
    <w:rsid w:val="002A57B1"/>
    <w:rsid w:val="002B319A"/>
    <w:rsid w:val="002B5536"/>
    <w:rsid w:val="002B626D"/>
    <w:rsid w:val="002B7C05"/>
    <w:rsid w:val="002C3CDA"/>
    <w:rsid w:val="002C5167"/>
    <w:rsid w:val="002D04F8"/>
    <w:rsid w:val="002D3A84"/>
    <w:rsid w:val="002E0D7B"/>
    <w:rsid w:val="002E2882"/>
    <w:rsid w:val="002E4DE8"/>
    <w:rsid w:val="002E6552"/>
    <w:rsid w:val="002F25BF"/>
    <w:rsid w:val="002F53CE"/>
    <w:rsid w:val="003021E0"/>
    <w:rsid w:val="003119EB"/>
    <w:rsid w:val="00316FB4"/>
    <w:rsid w:val="00321C5B"/>
    <w:rsid w:val="00323838"/>
    <w:rsid w:val="00327472"/>
    <w:rsid w:val="00335BD4"/>
    <w:rsid w:val="00343A14"/>
    <w:rsid w:val="00346886"/>
    <w:rsid w:val="00361B3F"/>
    <w:rsid w:val="00362522"/>
    <w:rsid w:val="00364B3D"/>
    <w:rsid w:val="0038640E"/>
    <w:rsid w:val="003978DE"/>
    <w:rsid w:val="003A3F84"/>
    <w:rsid w:val="003A4FDF"/>
    <w:rsid w:val="003B033F"/>
    <w:rsid w:val="003B0795"/>
    <w:rsid w:val="003B586F"/>
    <w:rsid w:val="003C1B04"/>
    <w:rsid w:val="003C5813"/>
    <w:rsid w:val="003E020C"/>
    <w:rsid w:val="003F48CD"/>
    <w:rsid w:val="0040154C"/>
    <w:rsid w:val="004250BC"/>
    <w:rsid w:val="00442369"/>
    <w:rsid w:val="004522A7"/>
    <w:rsid w:val="00464189"/>
    <w:rsid w:val="00465B89"/>
    <w:rsid w:val="00465C28"/>
    <w:rsid w:val="004707C4"/>
    <w:rsid w:val="004804FE"/>
    <w:rsid w:val="00493634"/>
    <w:rsid w:val="004948E0"/>
    <w:rsid w:val="004A3DDB"/>
    <w:rsid w:val="004B0441"/>
    <w:rsid w:val="004B5F9C"/>
    <w:rsid w:val="004C00F0"/>
    <w:rsid w:val="004C1848"/>
    <w:rsid w:val="004C6A1E"/>
    <w:rsid w:val="004D5D86"/>
    <w:rsid w:val="004D632A"/>
    <w:rsid w:val="004E167D"/>
    <w:rsid w:val="004E4EC8"/>
    <w:rsid w:val="004E61AA"/>
    <w:rsid w:val="004E625C"/>
    <w:rsid w:val="00513FE7"/>
    <w:rsid w:val="00514916"/>
    <w:rsid w:val="00517594"/>
    <w:rsid w:val="005642B5"/>
    <w:rsid w:val="005712A9"/>
    <w:rsid w:val="00577330"/>
    <w:rsid w:val="0058764F"/>
    <w:rsid w:val="0059340C"/>
    <w:rsid w:val="005A78F5"/>
    <w:rsid w:val="005B66A1"/>
    <w:rsid w:val="005C7570"/>
    <w:rsid w:val="005D17E4"/>
    <w:rsid w:val="00603E98"/>
    <w:rsid w:val="00647818"/>
    <w:rsid w:val="00651057"/>
    <w:rsid w:val="006525C8"/>
    <w:rsid w:val="006601F5"/>
    <w:rsid w:val="00664C0E"/>
    <w:rsid w:val="00671CB0"/>
    <w:rsid w:val="00673F7C"/>
    <w:rsid w:val="00680E44"/>
    <w:rsid w:val="00693708"/>
    <w:rsid w:val="006B61CA"/>
    <w:rsid w:val="006B69A8"/>
    <w:rsid w:val="006D6654"/>
    <w:rsid w:val="006F48F8"/>
    <w:rsid w:val="006F6ABA"/>
    <w:rsid w:val="00716DEB"/>
    <w:rsid w:val="007229D0"/>
    <w:rsid w:val="00722EA6"/>
    <w:rsid w:val="007247D9"/>
    <w:rsid w:val="00731841"/>
    <w:rsid w:val="00733B43"/>
    <w:rsid w:val="00742549"/>
    <w:rsid w:val="0077010C"/>
    <w:rsid w:val="0077337D"/>
    <w:rsid w:val="00777B5D"/>
    <w:rsid w:val="007B1D28"/>
    <w:rsid w:val="007B498C"/>
    <w:rsid w:val="007C6ABD"/>
    <w:rsid w:val="007E1A6B"/>
    <w:rsid w:val="00803CA8"/>
    <w:rsid w:val="00826376"/>
    <w:rsid w:val="0082688B"/>
    <w:rsid w:val="00834EF4"/>
    <w:rsid w:val="00847076"/>
    <w:rsid w:val="00853F19"/>
    <w:rsid w:val="00867C23"/>
    <w:rsid w:val="00871516"/>
    <w:rsid w:val="0089456E"/>
    <w:rsid w:val="008961BE"/>
    <w:rsid w:val="008A6B7A"/>
    <w:rsid w:val="008B259A"/>
    <w:rsid w:val="008E021A"/>
    <w:rsid w:val="008E0A06"/>
    <w:rsid w:val="008E4C5E"/>
    <w:rsid w:val="008F66EF"/>
    <w:rsid w:val="0091625F"/>
    <w:rsid w:val="00916D4D"/>
    <w:rsid w:val="00925561"/>
    <w:rsid w:val="009275B4"/>
    <w:rsid w:val="009277C0"/>
    <w:rsid w:val="00932BDF"/>
    <w:rsid w:val="00960FCF"/>
    <w:rsid w:val="009655DC"/>
    <w:rsid w:val="00971C8B"/>
    <w:rsid w:val="00974814"/>
    <w:rsid w:val="0098228F"/>
    <w:rsid w:val="00993A56"/>
    <w:rsid w:val="009B462B"/>
    <w:rsid w:val="009B7E34"/>
    <w:rsid w:val="009C275E"/>
    <w:rsid w:val="009D52FA"/>
    <w:rsid w:val="00A01B35"/>
    <w:rsid w:val="00A07A67"/>
    <w:rsid w:val="00A10247"/>
    <w:rsid w:val="00A223C5"/>
    <w:rsid w:val="00A22D45"/>
    <w:rsid w:val="00A40FCB"/>
    <w:rsid w:val="00A4619C"/>
    <w:rsid w:val="00A5213D"/>
    <w:rsid w:val="00A61390"/>
    <w:rsid w:val="00A64B90"/>
    <w:rsid w:val="00A769BE"/>
    <w:rsid w:val="00A76A63"/>
    <w:rsid w:val="00AA0CCB"/>
    <w:rsid w:val="00AC0D8F"/>
    <w:rsid w:val="00AC5506"/>
    <w:rsid w:val="00AE335E"/>
    <w:rsid w:val="00AE340C"/>
    <w:rsid w:val="00B1699E"/>
    <w:rsid w:val="00B36399"/>
    <w:rsid w:val="00B53B47"/>
    <w:rsid w:val="00B5570F"/>
    <w:rsid w:val="00B60F89"/>
    <w:rsid w:val="00B71C37"/>
    <w:rsid w:val="00B72DF9"/>
    <w:rsid w:val="00B779A7"/>
    <w:rsid w:val="00B96CAF"/>
    <w:rsid w:val="00BA1867"/>
    <w:rsid w:val="00BB3FCD"/>
    <w:rsid w:val="00BB677A"/>
    <w:rsid w:val="00BE79FC"/>
    <w:rsid w:val="00C00574"/>
    <w:rsid w:val="00C047D1"/>
    <w:rsid w:val="00C15C64"/>
    <w:rsid w:val="00C17CAB"/>
    <w:rsid w:val="00C20572"/>
    <w:rsid w:val="00C25689"/>
    <w:rsid w:val="00C26D78"/>
    <w:rsid w:val="00C36793"/>
    <w:rsid w:val="00C41A43"/>
    <w:rsid w:val="00C41B06"/>
    <w:rsid w:val="00C45E4C"/>
    <w:rsid w:val="00C63697"/>
    <w:rsid w:val="00C77222"/>
    <w:rsid w:val="00C932BF"/>
    <w:rsid w:val="00C944F3"/>
    <w:rsid w:val="00C959E4"/>
    <w:rsid w:val="00C959E7"/>
    <w:rsid w:val="00CA1987"/>
    <w:rsid w:val="00CC7196"/>
    <w:rsid w:val="00D136C1"/>
    <w:rsid w:val="00D2348F"/>
    <w:rsid w:val="00D41949"/>
    <w:rsid w:val="00D51F66"/>
    <w:rsid w:val="00D5400D"/>
    <w:rsid w:val="00D6387D"/>
    <w:rsid w:val="00D707F6"/>
    <w:rsid w:val="00D83FA5"/>
    <w:rsid w:val="00D869A9"/>
    <w:rsid w:val="00D90117"/>
    <w:rsid w:val="00D97238"/>
    <w:rsid w:val="00DA562D"/>
    <w:rsid w:val="00DC2CF1"/>
    <w:rsid w:val="00DC3906"/>
    <w:rsid w:val="00DC48F6"/>
    <w:rsid w:val="00DD6422"/>
    <w:rsid w:val="00DE660B"/>
    <w:rsid w:val="00DF1B04"/>
    <w:rsid w:val="00DF5488"/>
    <w:rsid w:val="00E26795"/>
    <w:rsid w:val="00E27B04"/>
    <w:rsid w:val="00E33457"/>
    <w:rsid w:val="00E3597F"/>
    <w:rsid w:val="00E457D6"/>
    <w:rsid w:val="00E518A0"/>
    <w:rsid w:val="00E77156"/>
    <w:rsid w:val="00E77D09"/>
    <w:rsid w:val="00E97837"/>
    <w:rsid w:val="00EA5309"/>
    <w:rsid w:val="00EB181A"/>
    <w:rsid w:val="00F04D6E"/>
    <w:rsid w:val="00F21411"/>
    <w:rsid w:val="00F21AC4"/>
    <w:rsid w:val="00F405C9"/>
    <w:rsid w:val="00F43B1A"/>
    <w:rsid w:val="00F45C36"/>
    <w:rsid w:val="00F5701B"/>
    <w:rsid w:val="00F70C7B"/>
    <w:rsid w:val="00F7207C"/>
    <w:rsid w:val="00FC66A2"/>
    <w:rsid w:val="00FD2A2C"/>
    <w:rsid w:val="00FE4B31"/>
    <w:rsid w:val="00FE5B2B"/>
    <w:rsid w:val="00FE5D9E"/>
    <w:rsid w:val="00FF683A"/>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A20C36FD-8332-4A77-A3F7-6AD36B1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4">
    <w:name w:val="heading 4"/>
    <w:basedOn w:val="Normal"/>
    <w:next w:val="Normal"/>
    <w:link w:val="Ttulo4Car"/>
    <w:uiPriority w:val="9"/>
    <w:semiHidden/>
    <w:unhideWhenUsed/>
    <w:qFormat/>
    <w:rsid w:val="00724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Ttulo4Car">
    <w:name w:val="Título 4 Car"/>
    <w:basedOn w:val="Fuentedeprrafopredeter"/>
    <w:link w:val="Ttulo4"/>
    <w:uiPriority w:val="9"/>
    <w:semiHidden/>
    <w:rsid w:val="007247D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24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7247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47D9"/>
    <w:rPr>
      <w:rFonts w:ascii="Courier New" w:eastAsia="Times New Roman" w:hAnsi="Courier New" w:cs="Times New Roman"/>
      <w:sz w:val="20"/>
      <w:szCs w:val="20"/>
      <w:lang w:val="x-none" w:eastAsia="es-ES"/>
    </w:rPr>
  </w:style>
  <w:style w:type="paragraph" w:customStyle="1" w:styleId="Texto">
    <w:name w:val="Texto"/>
    <w:basedOn w:val="Normal"/>
    <w:link w:val="TextoCar"/>
    <w:rsid w:val="007247D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47D9"/>
    <w:rPr>
      <w:rFonts w:ascii="Arial" w:eastAsia="Times New Roman" w:hAnsi="Arial" w:cs="Times New Roman"/>
      <w:sz w:val="18"/>
      <w:szCs w:val="20"/>
      <w:lang w:val="es-ES" w:eastAsia="es-ES"/>
    </w:rPr>
  </w:style>
  <w:style w:type="character" w:customStyle="1" w:styleId="estilo71">
    <w:name w:val="estilo71"/>
    <w:basedOn w:val="Fuentedeprrafopredeter"/>
    <w:rsid w:val="002F53CE"/>
  </w:style>
  <w:style w:type="character" w:customStyle="1" w:styleId="Mencinsinresolver1">
    <w:name w:val="Mención sin resolver1"/>
    <w:basedOn w:val="Fuentedeprrafopredeter"/>
    <w:uiPriority w:val="99"/>
    <w:semiHidden/>
    <w:unhideWhenUsed/>
    <w:rsid w:val="00135853"/>
    <w:rPr>
      <w:color w:val="605E5C"/>
      <w:shd w:val="clear" w:color="auto" w:fill="E1DFDD"/>
    </w:rPr>
  </w:style>
  <w:style w:type="table" w:styleId="Tablaconcuadrcula">
    <w:name w:val="Table Grid"/>
    <w:basedOn w:val="Tablanormal"/>
    <w:uiPriority w:val="39"/>
    <w:rsid w:val="00C047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61B3F"/>
    <w:rPr>
      <w:color w:val="954F72" w:themeColor="followedHyperlink"/>
      <w:u w:val="single"/>
    </w:rPr>
  </w:style>
  <w:style w:type="character" w:styleId="Refdecomentario">
    <w:name w:val="annotation reference"/>
    <w:basedOn w:val="Fuentedeprrafopredeter"/>
    <w:uiPriority w:val="99"/>
    <w:semiHidden/>
    <w:unhideWhenUsed/>
    <w:rsid w:val="001D4ECE"/>
    <w:rPr>
      <w:sz w:val="16"/>
      <w:szCs w:val="16"/>
    </w:rPr>
  </w:style>
  <w:style w:type="paragraph" w:styleId="Textocomentario">
    <w:name w:val="annotation text"/>
    <w:basedOn w:val="Normal"/>
    <w:link w:val="TextocomentarioCar"/>
    <w:uiPriority w:val="99"/>
    <w:semiHidden/>
    <w:unhideWhenUsed/>
    <w:rsid w:val="001D4E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4ECE"/>
    <w:rPr>
      <w:sz w:val="20"/>
      <w:szCs w:val="20"/>
    </w:rPr>
  </w:style>
  <w:style w:type="paragraph" w:styleId="Asuntodelcomentario">
    <w:name w:val="annotation subject"/>
    <w:basedOn w:val="Textocomentario"/>
    <w:next w:val="Textocomentario"/>
    <w:link w:val="AsuntodelcomentarioCar"/>
    <w:uiPriority w:val="99"/>
    <w:semiHidden/>
    <w:unhideWhenUsed/>
    <w:rsid w:val="001D4ECE"/>
    <w:rPr>
      <w:b/>
      <w:bCs/>
    </w:rPr>
  </w:style>
  <w:style w:type="character" w:customStyle="1" w:styleId="AsuntodelcomentarioCar">
    <w:name w:val="Asunto del comentario Car"/>
    <w:basedOn w:val="TextocomentarioCar"/>
    <w:link w:val="Asuntodelcomentario"/>
    <w:uiPriority w:val="99"/>
    <w:semiHidden/>
    <w:rsid w:val="001D4ECE"/>
    <w:rPr>
      <w:b/>
      <w:bCs/>
      <w:sz w:val="20"/>
      <w:szCs w:val="20"/>
    </w:rPr>
  </w:style>
  <w:style w:type="paragraph" w:styleId="Textodeglobo">
    <w:name w:val="Balloon Text"/>
    <w:basedOn w:val="Normal"/>
    <w:link w:val="TextodegloboCar"/>
    <w:uiPriority w:val="99"/>
    <w:semiHidden/>
    <w:unhideWhenUsed/>
    <w:rsid w:val="001D4E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EC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5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6672">
      <w:bodyDiv w:val="1"/>
      <w:marLeft w:val="0"/>
      <w:marRight w:val="0"/>
      <w:marTop w:val="0"/>
      <w:marBottom w:val="0"/>
      <w:divBdr>
        <w:top w:val="none" w:sz="0" w:space="0" w:color="auto"/>
        <w:left w:val="none" w:sz="0" w:space="0" w:color="auto"/>
        <w:bottom w:val="none" w:sz="0" w:space="0" w:color="auto"/>
        <w:right w:val="none" w:sz="0" w:space="0" w:color="auto"/>
      </w:divBdr>
    </w:div>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888296959">
      <w:bodyDiv w:val="1"/>
      <w:marLeft w:val="0"/>
      <w:marRight w:val="0"/>
      <w:marTop w:val="0"/>
      <w:marBottom w:val="0"/>
      <w:divBdr>
        <w:top w:val="none" w:sz="0" w:space="0" w:color="auto"/>
        <w:left w:val="none" w:sz="0" w:space="0" w:color="auto"/>
        <w:bottom w:val="none" w:sz="0" w:space="0" w:color="auto"/>
        <w:right w:val="none" w:sz="0" w:space="0" w:color="auto"/>
      </w:divBdr>
    </w:div>
    <w:div w:id="1114204109">
      <w:bodyDiv w:val="1"/>
      <w:marLeft w:val="0"/>
      <w:marRight w:val="0"/>
      <w:marTop w:val="0"/>
      <w:marBottom w:val="0"/>
      <w:divBdr>
        <w:top w:val="none" w:sz="0" w:space="0" w:color="auto"/>
        <w:left w:val="none" w:sz="0" w:space="0" w:color="auto"/>
        <w:bottom w:val="none" w:sz="0" w:space="0" w:color="auto"/>
        <w:right w:val="none" w:sz="0" w:space="0" w:color="auto"/>
      </w:divBdr>
    </w:div>
    <w:div w:id="1856382582">
      <w:bodyDiv w:val="1"/>
      <w:marLeft w:val="0"/>
      <w:marRight w:val="0"/>
      <w:marTop w:val="0"/>
      <w:marBottom w:val="0"/>
      <w:divBdr>
        <w:top w:val="none" w:sz="0" w:space="0" w:color="auto"/>
        <w:left w:val="none" w:sz="0" w:space="0" w:color="auto"/>
        <w:bottom w:val="none" w:sz="0" w:space="0" w:color="auto"/>
        <w:right w:val="none" w:sz="0" w:space="0" w:color="auto"/>
      </w:divBdr>
      <w:divsChild>
        <w:div w:id="2037002548">
          <w:marLeft w:val="0"/>
          <w:marRight w:val="0"/>
          <w:marTop w:val="0"/>
          <w:marBottom w:val="0"/>
          <w:divBdr>
            <w:top w:val="single" w:sz="6" w:space="0" w:color="DDDDDD"/>
            <w:left w:val="single" w:sz="6" w:space="0" w:color="DDDDDD"/>
            <w:bottom w:val="single" w:sz="6" w:space="0" w:color="DDDDDD"/>
            <w:right w:val="single" w:sz="6" w:space="0" w:color="DDDDDD"/>
          </w:divBdr>
          <w:divsChild>
            <w:div w:id="684869720">
              <w:marLeft w:val="0"/>
              <w:marRight w:val="0"/>
              <w:marTop w:val="0"/>
              <w:marBottom w:val="0"/>
              <w:divBdr>
                <w:top w:val="none" w:sz="0" w:space="0" w:color="auto"/>
                <w:left w:val="none" w:sz="0" w:space="0" w:color="auto"/>
                <w:bottom w:val="none" w:sz="0" w:space="0" w:color="auto"/>
                <w:right w:val="none" w:sz="0" w:space="0" w:color="auto"/>
              </w:divBdr>
              <w:divsChild>
                <w:div w:id="38169788">
                  <w:marLeft w:val="0"/>
                  <w:marRight w:val="0"/>
                  <w:marTop w:val="0"/>
                  <w:marBottom w:val="0"/>
                  <w:divBdr>
                    <w:top w:val="none" w:sz="0" w:space="0" w:color="auto"/>
                    <w:left w:val="none" w:sz="0" w:space="0" w:color="auto"/>
                    <w:bottom w:val="none" w:sz="0" w:space="0" w:color="auto"/>
                    <w:right w:val="none" w:sz="0" w:space="0" w:color="auto"/>
                  </w:divBdr>
                </w:div>
                <w:div w:id="483352949">
                  <w:marLeft w:val="0"/>
                  <w:marRight w:val="0"/>
                  <w:marTop w:val="0"/>
                  <w:marBottom w:val="0"/>
                  <w:divBdr>
                    <w:top w:val="none" w:sz="0" w:space="0" w:color="auto"/>
                    <w:left w:val="none" w:sz="0" w:space="0" w:color="auto"/>
                    <w:bottom w:val="none" w:sz="0" w:space="0" w:color="auto"/>
                    <w:right w:val="none" w:sz="0" w:space="0" w:color="auto"/>
                  </w:divBdr>
                </w:div>
                <w:div w:id="1514610564">
                  <w:marLeft w:val="0"/>
                  <w:marRight w:val="0"/>
                  <w:marTop w:val="0"/>
                  <w:marBottom w:val="0"/>
                  <w:divBdr>
                    <w:top w:val="none" w:sz="0" w:space="0" w:color="auto"/>
                    <w:left w:val="none" w:sz="0" w:space="0" w:color="auto"/>
                    <w:bottom w:val="none" w:sz="0" w:space="0" w:color="auto"/>
                    <w:right w:val="none" w:sz="0" w:space="0" w:color="auto"/>
                  </w:divBdr>
                </w:div>
                <w:div w:id="356081838">
                  <w:marLeft w:val="0"/>
                  <w:marRight w:val="0"/>
                  <w:marTop w:val="0"/>
                  <w:marBottom w:val="0"/>
                  <w:divBdr>
                    <w:top w:val="none" w:sz="0" w:space="0" w:color="auto"/>
                    <w:left w:val="none" w:sz="0" w:space="0" w:color="auto"/>
                    <w:bottom w:val="none" w:sz="0" w:space="0" w:color="auto"/>
                    <w:right w:val="none" w:sz="0" w:space="0" w:color="auto"/>
                  </w:divBdr>
                </w:div>
                <w:div w:id="527254130">
                  <w:marLeft w:val="0"/>
                  <w:marRight w:val="0"/>
                  <w:marTop w:val="0"/>
                  <w:marBottom w:val="0"/>
                  <w:divBdr>
                    <w:top w:val="none" w:sz="0" w:space="0" w:color="auto"/>
                    <w:left w:val="none" w:sz="0" w:space="0" w:color="auto"/>
                    <w:bottom w:val="none" w:sz="0" w:space="0" w:color="auto"/>
                    <w:right w:val="none" w:sz="0" w:space="0" w:color="auto"/>
                  </w:divBdr>
                </w:div>
                <w:div w:id="582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447">
          <w:marLeft w:val="0"/>
          <w:marRight w:val="0"/>
          <w:marTop w:val="75"/>
          <w:marBottom w:val="0"/>
          <w:divBdr>
            <w:top w:val="single" w:sz="6" w:space="0" w:color="DDDDDD"/>
            <w:left w:val="single" w:sz="6" w:space="0" w:color="DDDDDD"/>
            <w:bottom w:val="single" w:sz="6" w:space="0" w:color="DDDDDD"/>
            <w:right w:val="single" w:sz="6" w:space="0" w:color="DDDDDD"/>
          </w:divBdr>
          <w:divsChild>
            <w:div w:id="510416543">
              <w:marLeft w:val="0"/>
              <w:marRight w:val="0"/>
              <w:marTop w:val="0"/>
              <w:marBottom w:val="0"/>
              <w:divBdr>
                <w:top w:val="none" w:sz="0" w:space="8" w:color="DDDDDD"/>
                <w:left w:val="none" w:sz="0" w:space="11" w:color="DDDDDD"/>
                <w:bottom w:val="none" w:sz="0" w:space="0" w:color="auto"/>
                <w:right w:val="none" w:sz="0" w:space="11" w:color="DDDDDD"/>
              </w:divBdr>
            </w:div>
            <w:div w:id="598173305">
              <w:marLeft w:val="0"/>
              <w:marRight w:val="0"/>
              <w:marTop w:val="0"/>
              <w:marBottom w:val="0"/>
              <w:divBdr>
                <w:top w:val="none" w:sz="0" w:space="0" w:color="auto"/>
                <w:left w:val="none" w:sz="0" w:space="0" w:color="auto"/>
                <w:bottom w:val="none" w:sz="0" w:space="0" w:color="auto"/>
                <w:right w:val="none" w:sz="0" w:space="0" w:color="auto"/>
              </w:divBdr>
              <w:divsChild>
                <w:div w:id="154222050">
                  <w:marLeft w:val="0"/>
                  <w:marRight w:val="0"/>
                  <w:marTop w:val="0"/>
                  <w:marBottom w:val="0"/>
                  <w:divBdr>
                    <w:top w:val="single" w:sz="6" w:space="0" w:color="DDDDDD"/>
                    <w:left w:val="single" w:sz="6" w:space="0" w:color="DDDDDD"/>
                    <w:bottom w:val="single" w:sz="6" w:space="0" w:color="DDDDDD"/>
                    <w:right w:val="single" w:sz="6" w:space="0" w:color="DDDDDD"/>
                  </w:divBdr>
                  <w:divsChild>
                    <w:div w:id="939408401">
                      <w:marLeft w:val="0"/>
                      <w:marRight w:val="0"/>
                      <w:marTop w:val="0"/>
                      <w:marBottom w:val="0"/>
                      <w:divBdr>
                        <w:top w:val="none" w:sz="0" w:space="8" w:color="DDDDDD"/>
                        <w:left w:val="none" w:sz="0" w:space="11" w:color="DDDDDD"/>
                        <w:bottom w:val="none" w:sz="0" w:space="0" w:color="auto"/>
                        <w:right w:val="none" w:sz="0" w:space="11" w:color="DDDDDD"/>
                      </w:divBdr>
                    </w:div>
                    <w:div w:id="360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4608">
          <w:marLeft w:val="0"/>
          <w:marRight w:val="0"/>
          <w:marTop w:val="75"/>
          <w:marBottom w:val="0"/>
          <w:divBdr>
            <w:top w:val="single" w:sz="6" w:space="0" w:color="DDDDDD"/>
            <w:left w:val="single" w:sz="6" w:space="0" w:color="DDDDDD"/>
            <w:bottom w:val="single" w:sz="6" w:space="0" w:color="DDDDDD"/>
            <w:right w:val="single" w:sz="6" w:space="0" w:color="DDDDDD"/>
          </w:divBdr>
          <w:divsChild>
            <w:div w:id="694498956">
              <w:marLeft w:val="0"/>
              <w:marRight w:val="0"/>
              <w:marTop w:val="0"/>
              <w:marBottom w:val="0"/>
              <w:divBdr>
                <w:top w:val="none" w:sz="0" w:space="8" w:color="DDDDDD"/>
                <w:left w:val="none" w:sz="0" w:space="11" w:color="DDDDDD"/>
                <w:bottom w:val="none" w:sz="0" w:space="0" w:color="auto"/>
                <w:right w:val="none" w:sz="0" w:space="11" w:color="DDDDDD"/>
              </w:divBdr>
            </w:div>
            <w:div w:id="6657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nado.gob.mx/64/gaceta_del_senado/documento/84334" TargetMode="External"/><Relationship Id="rId2" Type="http://schemas.openxmlformats.org/officeDocument/2006/relationships/hyperlink" Target="https://infosen.senado.gob.mx/sgsp/gaceta/64/1/2019-04-25-1/assets/documentos/Dict_DH_5_dic15_de_junio.pdf" TargetMode="External"/><Relationship Id="rId1" Type="http://schemas.openxmlformats.org/officeDocument/2006/relationships/hyperlink" Target="https://www.senado.gob.mx/64/gaceta_del_senado/documento/94813" TargetMode="External"/><Relationship Id="rId4" Type="http://schemas.openxmlformats.org/officeDocument/2006/relationships/hyperlink" Target="file:///C:/Users/toshiba/Desktop/DICTAMENES%201020/DICTAMEN%20PA%20301020/DIP%20RUBEN%20MOREIRA/RESPUESTA%20DGPL_2P1A_7416_SRE_DERECH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2E575-B75E-4EF4-BAD8-CF4EEC10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4294</Words>
  <Characters>23620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3</cp:revision>
  <dcterms:created xsi:type="dcterms:W3CDTF">2020-12-22T01:06:00Z</dcterms:created>
  <dcterms:modified xsi:type="dcterms:W3CDTF">2021-01-23T03:48:00Z</dcterms:modified>
</cp:coreProperties>
</file>